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5E3" w:rsidRPr="00A405E3" w:rsidRDefault="00A405E3" w:rsidP="00A405E3">
      <w:pPr>
        <w:spacing w:before="100" w:beforeAutospacing="1" w:after="100" w:afterAutospacing="1" w:line="240" w:lineRule="auto"/>
        <w:jc w:val="left"/>
        <w:rPr>
          <w:rFonts w:eastAsia="Times New Roman" w:cs="Times New Roman"/>
          <w:color w:val="000000"/>
          <w:szCs w:val="24"/>
        </w:rPr>
      </w:pPr>
      <w:r w:rsidRPr="00A405E3">
        <w:rPr>
          <w:rFonts w:eastAsia="Times New Roman" w:cs="Times New Roman"/>
          <w:b/>
          <w:bCs/>
          <w:color w:val="000000"/>
          <w:szCs w:val="24"/>
        </w:rPr>
        <w:t> </w:t>
      </w:r>
    </w:p>
    <w:p w:rsidR="00A405E3" w:rsidRPr="00A405E3" w:rsidRDefault="00A405E3" w:rsidP="00A405E3">
      <w:pPr>
        <w:spacing w:before="100" w:beforeAutospacing="1" w:after="100" w:afterAutospacing="1" w:line="240" w:lineRule="auto"/>
        <w:jc w:val="left"/>
        <w:rPr>
          <w:rFonts w:eastAsia="Times New Roman" w:cs="Times New Roman"/>
          <w:color w:val="000000"/>
          <w:szCs w:val="24"/>
        </w:rPr>
      </w:pPr>
      <w:r w:rsidRPr="00A405E3">
        <w:rPr>
          <w:rFonts w:eastAsia="Times New Roman" w:cs="Times New Roman"/>
          <w:b/>
          <w:bCs/>
          <w:color w:val="000000"/>
          <w:szCs w:val="24"/>
        </w:rPr>
        <w:t> </w:t>
      </w:r>
    </w:p>
    <w:p w:rsidR="00A405E3" w:rsidRPr="00A405E3" w:rsidRDefault="00A405E3" w:rsidP="00A405E3">
      <w:pPr>
        <w:spacing w:before="100" w:beforeAutospacing="1" w:after="100" w:afterAutospacing="1" w:line="240" w:lineRule="auto"/>
        <w:jc w:val="left"/>
        <w:rPr>
          <w:rFonts w:eastAsia="Times New Roman" w:cs="Times New Roman"/>
          <w:color w:val="000000"/>
          <w:szCs w:val="24"/>
        </w:rPr>
      </w:pPr>
      <w:r w:rsidRPr="00A405E3">
        <w:rPr>
          <w:rFonts w:eastAsia="Times New Roman" w:cs="Times New Roman"/>
          <w:b/>
          <w:bCs/>
          <w:color w:val="000000"/>
          <w:szCs w:val="24"/>
        </w:rPr>
        <w:t> </w:t>
      </w:r>
    </w:p>
    <w:p w:rsidR="00A405E3" w:rsidRPr="00A405E3" w:rsidRDefault="00A405E3" w:rsidP="00A405E3">
      <w:pPr>
        <w:spacing w:before="100" w:beforeAutospacing="1" w:after="100" w:afterAutospacing="1" w:line="240" w:lineRule="auto"/>
        <w:jc w:val="left"/>
        <w:rPr>
          <w:rFonts w:eastAsia="Times New Roman" w:cs="Times New Roman"/>
          <w:color w:val="000000"/>
          <w:szCs w:val="24"/>
        </w:rPr>
      </w:pPr>
      <w:r w:rsidRPr="00A405E3">
        <w:rPr>
          <w:rFonts w:eastAsia="Times New Roman" w:cs="Times New Roman"/>
          <w:b/>
          <w:bCs/>
          <w:color w:val="000000"/>
          <w:szCs w:val="24"/>
        </w:rPr>
        <w:t> </w:t>
      </w:r>
    </w:p>
    <w:p w:rsidR="00A405E3" w:rsidRPr="00A405E3" w:rsidRDefault="00A405E3" w:rsidP="00A405E3">
      <w:pPr>
        <w:spacing w:before="100" w:beforeAutospacing="1" w:after="100" w:afterAutospacing="1" w:line="240" w:lineRule="auto"/>
        <w:jc w:val="left"/>
        <w:rPr>
          <w:rFonts w:eastAsia="Times New Roman" w:cs="Times New Roman"/>
          <w:color w:val="000000"/>
          <w:szCs w:val="24"/>
        </w:rPr>
      </w:pPr>
      <w:r w:rsidRPr="00A405E3">
        <w:rPr>
          <w:rFonts w:eastAsia="Times New Roman" w:cs="Times New Roman"/>
          <w:b/>
          <w:bCs/>
          <w:color w:val="000000"/>
          <w:szCs w:val="24"/>
        </w:rPr>
        <w:t> </w:t>
      </w:r>
    </w:p>
    <w:p w:rsidR="00A405E3" w:rsidRPr="00A405E3" w:rsidRDefault="00A405E3" w:rsidP="00A405E3">
      <w:pPr>
        <w:spacing w:before="100" w:beforeAutospacing="1" w:after="100" w:afterAutospacing="1" w:line="240" w:lineRule="auto"/>
        <w:jc w:val="center"/>
        <w:rPr>
          <w:rFonts w:eastAsia="Times New Roman" w:cs="Times New Roman"/>
          <w:color w:val="000000"/>
          <w:szCs w:val="24"/>
        </w:rPr>
      </w:pPr>
      <w:r w:rsidRPr="00A405E3">
        <w:rPr>
          <w:rFonts w:eastAsia="Times New Roman" w:cs="Times New Roman"/>
          <w:b/>
          <w:bCs/>
          <w:color w:val="000000"/>
          <w:szCs w:val="24"/>
        </w:rPr>
        <w:t>HEALTH AND DISABILITY CRITIQUE</w:t>
      </w:r>
    </w:p>
    <w:p w:rsidR="00A405E3" w:rsidRPr="00A405E3" w:rsidRDefault="00A405E3" w:rsidP="00A405E3">
      <w:pPr>
        <w:spacing w:before="100" w:beforeAutospacing="1" w:after="100" w:afterAutospacing="1" w:line="240" w:lineRule="auto"/>
        <w:jc w:val="center"/>
        <w:rPr>
          <w:rFonts w:eastAsia="Times New Roman" w:cs="Times New Roman"/>
          <w:color w:val="000000"/>
          <w:szCs w:val="24"/>
        </w:rPr>
      </w:pPr>
      <w:r w:rsidRPr="00A405E3">
        <w:rPr>
          <w:rFonts w:eastAsia="Times New Roman" w:cs="Times New Roman"/>
          <w:b/>
          <w:bCs/>
          <w:color w:val="000000"/>
          <w:szCs w:val="24"/>
        </w:rPr>
        <w:t> </w:t>
      </w:r>
    </w:p>
    <w:p w:rsidR="00A405E3" w:rsidRPr="00A405E3" w:rsidRDefault="00A405E3" w:rsidP="00A405E3">
      <w:pPr>
        <w:spacing w:before="100" w:beforeAutospacing="1" w:after="100" w:afterAutospacing="1" w:line="240" w:lineRule="auto"/>
        <w:jc w:val="center"/>
        <w:rPr>
          <w:rFonts w:eastAsia="Times New Roman" w:cs="Times New Roman"/>
          <w:color w:val="000000"/>
          <w:szCs w:val="24"/>
        </w:rPr>
      </w:pPr>
      <w:r w:rsidRPr="00A405E3">
        <w:rPr>
          <w:rFonts w:eastAsia="Times New Roman" w:cs="Times New Roman"/>
          <w:b/>
          <w:bCs/>
          <w:color w:val="000000"/>
          <w:szCs w:val="24"/>
        </w:rPr>
        <w:t> </w:t>
      </w:r>
    </w:p>
    <w:p w:rsidR="00A405E3" w:rsidRPr="00A405E3" w:rsidRDefault="00A405E3" w:rsidP="00A405E3">
      <w:pPr>
        <w:spacing w:before="100" w:beforeAutospacing="1" w:after="100" w:afterAutospacing="1" w:line="240" w:lineRule="auto"/>
        <w:jc w:val="center"/>
        <w:rPr>
          <w:rFonts w:eastAsia="Times New Roman" w:cs="Times New Roman"/>
          <w:color w:val="000000"/>
          <w:szCs w:val="24"/>
        </w:rPr>
      </w:pPr>
      <w:r w:rsidRPr="00A405E3">
        <w:rPr>
          <w:rFonts w:eastAsia="Times New Roman" w:cs="Times New Roman"/>
          <w:b/>
          <w:bCs/>
          <w:color w:val="000000"/>
          <w:szCs w:val="24"/>
        </w:rPr>
        <w:t> </w:t>
      </w:r>
    </w:p>
    <w:p w:rsidR="00A405E3" w:rsidRPr="00A405E3" w:rsidRDefault="00A405E3" w:rsidP="00A405E3">
      <w:pPr>
        <w:spacing w:before="100" w:beforeAutospacing="1" w:after="100" w:afterAutospacing="1" w:line="240" w:lineRule="auto"/>
        <w:jc w:val="center"/>
        <w:rPr>
          <w:rFonts w:eastAsia="Times New Roman" w:cs="Times New Roman"/>
          <w:color w:val="000000"/>
          <w:szCs w:val="24"/>
        </w:rPr>
      </w:pPr>
      <w:r w:rsidRPr="00A405E3">
        <w:rPr>
          <w:rFonts w:eastAsia="Times New Roman" w:cs="Times New Roman"/>
          <w:b/>
          <w:bCs/>
          <w:color w:val="000000"/>
          <w:szCs w:val="24"/>
        </w:rPr>
        <w:t> </w:t>
      </w:r>
    </w:p>
    <w:p w:rsidR="00A405E3" w:rsidRPr="00A405E3" w:rsidRDefault="00A405E3" w:rsidP="00A405E3">
      <w:pPr>
        <w:spacing w:before="100" w:beforeAutospacing="1" w:after="100" w:afterAutospacing="1" w:line="240" w:lineRule="auto"/>
        <w:jc w:val="center"/>
        <w:rPr>
          <w:rFonts w:eastAsia="Times New Roman" w:cs="Times New Roman"/>
          <w:color w:val="000000"/>
          <w:szCs w:val="24"/>
        </w:rPr>
      </w:pPr>
      <w:r w:rsidRPr="00A405E3">
        <w:rPr>
          <w:rFonts w:eastAsia="Times New Roman" w:cs="Times New Roman"/>
          <w:b/>
          <w:bCs/>
          <w:color w:val="000000"/>
          <w:szCs w:val="24"/>
        </w:rPr>
        <w:t> </w:t>
      </w:r>
    </w:p>
    <w:p w:rsidR="00A405E3" w:rsidRPr="00A405E3" w:rsidRDefault="00A405E3" w:rsidP="00A405E3">
      <w:pPr>
        <w:spacing w:before="100" w:beforeAutospacing="1" w:after="100" w:afterAutospacing="1" w:line="240" w:lineRule="auto"/>
        <w:jc w:val="center"/>
        <w:rPr>
          <w:rFonts w:eastAsia="Times New Roman" w:cs="Times New Roman"/>
          <w:color w:val="000000"/>
          <w:szCs w:val="24"/>
        </w:rPr>
      </w:pPr>
      <w:r w:rsidRPr="00A405E3">
        <w:rPr>
          <w:rFonts w:eastAsia="Times New Roman" w:cs="Times New Roman"/>
          <w:b/>
          <w:bCs/>
          <w:color w:val="000000"/>
          <w:szCs w:val="24"/>
        </w:rPr>
        <w:t>Student’s name</w:t>
      </w:r>
    </w:p>
    <w:p w:rsidR="00A405E3" w:rsidRPr="00A405E3" w:rsidRDefault="00A405E3" w:rsidP="00A405E3">
      <w:pPr>
        <w:spacing w:before="100" w:beforeAutospacing="1" w:after="100" w:afterAutospacing="1" w:line="240" w:lineRule="auto"/>
        <w:jc w:val="center"/>
        <w:rPr>
          <w:rFonts w:eastAsia="Times New Roman" w:cs="Times New Roman"/>
          <w:color w:val="000000"/>
          <w:szCs w:val="24"/>
        </w:rPr>
      </w:pPr>
      <w:r w:rsidRPr="00A405E3">
        <w:rPr>
          <w:rFonts w:eastAsia="Times New Roman" w:cs="Times New Roman"/>
          <w:b/>
          <w:bCs/>
          <w:color w:val="000000"/>
          <w:szCs w:val="24"/>
        </w:rPr>
        <w:t> </w:t>
      </w:r>
    </w:p>
    <w:p w:rsidR="00A405E3" w:rsidRPr="00A405E3" w:rsidRDefault="00A405E3" w:rsidP="00A405E3">
      <w:pPr>
        <w:spacing w:before="100" w:beforeAutospacing="1" w:after="100" w:afterAutospacing="1" w:line="240" w:lineRule="auto"/>
        <w:jc w:val="center"/>
        <w:rPr>
          <w:rFonts w:eastAsia="Times New Roman" w:cs="Times New Roman"/>
          <w:color w:val="000000"/>
          <w:szCs w:val="24"/>
        </w:rPr>
      </w:pPr>
      <w:r w:rsidRPr="00A405E3">
        <w:rPr>
          <w:rFonts w:eastAsia="Times New Roman" w:cs="Times New Roman"/>
          <w:b/>
          <w:bCs/>
          <w:color w:val="000000"/>
          <w:szCs w:val="24"/>
        </w:rPr>
        <w:t> </w:t>
      </w:r>
    </w:p>
    <w:p w:rsidR="00A405E3" w:rsidRPr="00A405E3" w:rsidRDefault="00A405E3" w:rsidP="00A405E3">
      <w:pPr>
        <w:spacing w:before="100" w:beforeAutospacing="1" w:after="100" w:afterAutospacing="1" w:line="240" w:lineRule="auto"/>
        <w:jc w:val="center"/>
        <w:rPr>
          <w:rFonts w:eastAsia="Times New Roman" w:cs="Times New Roman"/>
          <w:color w:val="000000"/>
          <w:szCs w:val="24"/>
        </w:rPr>
      </w:pPr>
      <w:r w:rsidRPr="00A405E3">
        <w:rPr>
          <w:rFonts w:eastAsia="Times New Roman" w:cs="Times New Roman"/>
          <w:b/>
          <w:bCs/>
          <w:color w:val="000000"/>
          <w:szCs w:val="24"/>
        </w:rPr>
        <w:t> </w:t>
      </w:r>
    </w:p>
    <w:p w:rsidR="00A405E3" w:rsidRPr="00A405E3" w:rsidRDefault="00A405E3" w:rsidP="00A405E3">
      <w:pPr>
        <w:spacing w:before="100" w:beforeAutospacing="1" w:after="100" w:afterAutospacing="1" w:line="240" w:lineRule="auto"/>
        <w:jc w:val="center"/>
        <w:rPr>
          <w:rFonts w:eastAsia="Times New Roman" w:cs="Times New Roman"/>
          <w:color w:val="000000"/>
          <w:szCs w:val="24"/>
        </w:rPr>
      </w:pPr>
      <w:r w:rsidRPr="00A405E3">
        <w:rPr>
          <w:rFonts w:eastAsia="Times New Roman" w:cs="Times New Roman"/>
          <w:b/>
          <w:bCs/>
          <w:color w:val="000000"/>
          <w:szCs w:val="24"/>
        </w:rPr>
        <w:t> </w:t>
      </w:r>
    </w:p>
    <w:p w:rsidR="00A405E3" w:rsidRPr="00A405E3" w:rsidRDefault="00A405E3" w:rsidP="00A405E3">
      <w:pPr>
        <w:spacing w:before="100" w:beforeAutospacing="1" w:after="100" w:afterAutospacing="1" w:line="240" w:lineRule="auto"/>
        <w:jc w:val="center"/>
        <w:rPr>
          <w:rFonts w:eastAsia="Times New Roman" w:cs="Times New Roman"/>
          <w:color w:val="000000"/>
          <w:szCs w:val="24"/>
        </w:rPr>
      </w:pPr>
      <w:r w:rsidRPr="00A405E3">
        <w:rPr>
          <w:rFonts w:eastAsia="Times New Roman" w:cs="Times New Roman"/>
          <w:b/>
          <w:bCs/>
          <w:color w:val="000000"/>
          <w:szCs w:val="24"/>
        </w:rPr>
        <w:t>Course name </w:t>
      </w:r>
    </w:p>
    <w:p w:rsidR="00A405E3" w:rsidRPr="00A405E3" w:rsidRDefault="00A405E3" w:rsidP="00A405E3">
      <w:pPr>
        <w:spacing w:before="100" w:beforeAutospacing="1" w:after="100" w:afterAutospacing="1" w:line="240" w:lineRule="auto"/>
        <w:rPr>
          <w:rFonts w:eastAsia="Times New Roman" w:cs="Times New Roman"/>
          <w:color w:val="000000"/>
          <w:szCs w:val="24"/>
        </w:rPr>
      </w:pPr>
    </w:p>
    <w:p w:rsidR="00A405E3" w:rsidRPr="00A405E3" w:rsidRDefault="00A405E3" w:rsidP="00A405E3">
      <w:pPr>
        <w:spacing w:before="100" w:beforeAutospacing="1" w:after="100" w:afterAutospacing="1" w:line="240" w:lineRule="auto"/>
        <w:jc w:val="center"/>
        <w:rPr>
          <w:rFonts w:eastAsia="Times New Roman" w:cs="Times New Roman"/>
          <w:color w:val="000000"/>
          <w:szCs w:val="24"/>
        </w:rPr>
      </w:pPr>
      <w:r w:rsidRPr="00A405E3">
        <w:rPr>
          <w:rFonts w:eastAsia="Times New Roman" w:cs="Times New Roman"/>
          <w:b/>
          <w:bCs/>
          <w:color w:val="000000"/>
          <w:szCs w:val="24"/>
        </w:rPr>
        <w:t>Instructor name</w:t>
      </w:r>
    </w:p>
    <w:p w:rsidR="00A405E3" w:rsidRPr="00A405E3" w:rsidRDefault="00A405E3" w:rsidP="00A405E3">
      <w:pPr>
        <w:spacing w:before="100" w:beforeAutospacing="1" w:after="100" w:afterAutospacing="1" w:line="240" w:lineRule="auto"/>
        <w:jc w:val="center"/>
        <w:rPr>
          <w:rFonts w:eastAsia="Times New Roman" w:cs="Times New Roman"/>
          <w:color w:val="000000"/>
          <w:szCs w:val="24"/>
        </w:rPr>
      </w:pPr>
      <w:r w:rsidRPr="00A405E3">
        <w:rPr>
          <w:rFonts w:eastAsia="Times New Roman" w:cs="Times New Roman"/>
          <w:b/>
          <w:bCs/>
          <w:color w:val="000000"/>
          <w:szCs w:val="24"/>
        </w:rPr>
        <w:t>  </w:t>
      </w:r>
    </w:p>
    <w:p w:rsidR="00A405E3" w:rsidRPr="00A405E3" w:rsidRDefault="00A405E3" w:rsidP="00A405E3">
      <w:pPr>
        <w:spacing w:before="100" w:beforeAutospacing="1" w:after="100" w:afterAutospacing="1" w:line="240" w:lineRule="auto"/>
        <w:jc w:val="center"/>
        <w:rPr>
          <w:rFonts w:eastAsia="Times New Roman" w:cs="Times New Roman"/>
          <w:color w:val="000000"/>
          <w:szCs w:val="24"/>
        </w:rPr>
      </w:pPr>
      <w:r w:rsidRPr="00A405E3">
        <w:rPr>
          <w:rFonts w:eastAsia="Times New Roman" w:cs="Times New Roman"/>
          <w:b/>
          <w:bCs/>
          <w:color w:val="000000"/>
          <w:szCs w:val="24"/>
        </w:rPr>
        <w:t>Date</w:t>
      </w:r>
    </w:p>
    <w:p w:rsidR="00A405E3" w:rsidRPr="00A405E3" w:rsidRDefault="00A405E3" w:rsidP="00A405E3">
      <w:pPr>
        <w:spacing w:before="100" w:beforeAutospacing="1" w:after="100" w:afterAutospacing="1" w:line="240" w:lineRule="auto"/>
        <w:jc w:val="center"/>
        <w:rPr>
          <w:rFonts w:eastAsia="Times New Roman" w:cs="Times New Roman"/>
          <w:color w:val="000000"/>
          <w:szCs w:val="24"/>
        </w:rPr>
      </w:pPr>
      <w:r w:rsidRPr="00A405E3">
        <w:rPr>
          <w:rFonts w:eastAsia="Times New Roman" w:cs="Times New Roman"/>
          <w:b/>
          <w:bCs/>
          <w:color w:val="000000"/>
          <w:szCs w:val="24"/>
        </w:rPr>
        <w:t> </w:t>
      </w:r>
    </w:p>
    <w:p w:rsidR="00A405E3" w:rsidRDefault="00A405E3" w:rsidP="00A405E3">
      <w:pPr>
        <w:spacing w:before="100" w:beforeAutospacing="1" w:after="100" w:afterAutospacing="1" w:line="240" w:lineRule="auto"/>
        <w:rPr>
          <w:rFonts w:eastAsia="Times New Roman" w:cs="Times New Roman"/>
          <w:b/>
          <w:bCs/>
          <w:color w:val="000000"/>
          <w:szCs w:val="24"/>
        </w:rPr>
      </w:pPr>
    </w:p>
    <w:p w:rsidR="00DF797E" w:rsidRDefault="00A405E3" w:rsidP="00A405E3">
      <w:pPr>
        <w:spacing w:before="100" w:beforeAutospacing="1" w:after="100" w:afterAutospacing="1" w:line="240" w:lineRule="auto"/>
        <w:rPr>
          <w:rFonts w:eastAsia="Times New Roman" w:cs="Times New Roman"/>
          <w:b/>
          <w:bCs/>
          <w:color w:val="000000"/>
          <w:szCs w:val="24"/>
        </w:rPr>
      </w:pPr>
      <w:r w:rsidRPr="00A405E3">
        <w:rPr>
          <w:rFonts w:eastAsia="Times New Roman" w:cs="Times New Roman"/>
          <w:b/>
          <w:bCs/>
          <w:color w:val="000000"/>
          <w:szCs w:val="24"/>
        </w:rPr>
        <w:t>Introduction</w:t>
      </w:r>
    </w:p>
    <w:p w:rsidR="003F1909" w:rsidRPr="00DF797E" w:rsidRDefault="00DF797E" w:rsidP="00A405E3">
      <w:pPr>
        <w:spacing w:before="100" w:beforeAutospacing="1" w:after="100" w:afterAutospacing="1" w:line="240" w:lineRule="auto"/>
        <w:rPr>
          <w:rFonts w:eastAsia="Times New Roman" w:cs="Times New Roman"/>
          <w:b/>
          <w:bCs/>
          <w:color w:val="000000"/>
          <w:szCs w:val="24"/>
        </w:rPr>
      </w:pPr>
      <w:r>
        <w:rPr>
          <w:rFonts w:eastAsia="Times New Roman" w:cs="Times New Roman"/>
          <w:b/>
          <w:bCs/>
          <w:color w:val="000000"/>
          <w:szCs w:val="24"/>
        </w:rPr>
        <w:t xml:space="preserve">     </w:t>
      </w:r>
      <w:r w:rsidR="003F1909">
        <w:rPr>
          <w:rFonts w:eastAsia="Times New Roman" w:cs="Times New Roman"/>
          <w:b/>
          <w:bCs/>
          <w:color w:val="000000"/>
          <w:szCs w:val="24"/>
        </w:rPr>
        <w:t xml:space="preserve">Overall topic introduction </w:t>
      </w:r>
    </w:p>
    <w:p w:rsidR="009B1B1C" w:rsidRDefault="00A405E3" w:rsidP="009B1B1C">
      <w:pPr>
        <w:spacing w:before="100" w:beforeAutospacing="1" w:after="100" w:afterAutospacing="1" w:line="240" w:lineRule="auto"/>
        <w:ind w:firstLine="720"/>
        <w:jc w:val="left"/>
        <w:rPr>
          <w:rFonts w:eastAsia="Times New Roman" w:cs="Times New Roman"/>
          <w:color w:val="000000"/>
          <w:szCs w:val="24"/>
        </w:rPr>
      </w:pPr>
      <w:r w:rsidRPr="00A405E3">
        <w:rPr>
          <w:rFonts w:eastAsia="Times New Roman" w:cs="Times New Roman"/>
          <w:color w:val="000000"/>
          <w:szCs w:val="24"/>
        </w:rPr>
        <w:t>Everyone in a society has the right to equality and justice regardless of their being. Disability for a long time has conveyed a great issue in our society and it is still to be fully evaluated and solved. This is mostly because people with disabilities are not fully able to do their personal life activities effectively without external aid. Health is the well-being of any individual and vastly related to a disability. Anyone deprived of good health condition is regarded as disabled and requires special care. Therefore it is important to look at both issues critically and evaluate any possible loopholes and strengths for the better social life of a community.</w:t>
      </w:r>
      <w:r w:rsidR="003F1909">
        <w:rPr>
          <w:rFonts w:eastAsia="Times New Roman" w:cs="Times New Roman"/>
          <w:color w:val="000000"/>
          <w:szCs w:val="24"/>
        </w:rPr>
        <w:t xml:space="preserve"> This is an evaluation of two authors’</w:t>
      </w:r>
      <w:r w:rsidR="009B1B1C">
        <w:rPr>
          <w:rFonts w:eastAsia="Times New Roman" w:cs="Times New Roman"/>
          <w:color w:val="000000"/>
          <w:szCs w:val="24"/>
        </w:rPr>
        <w:t xml:space="preserve"> view of disability as a </w:t>
      </w:r>
      <w:r w:rsidR="003F1909">
        <w:rPr>
          <w:rFonts w:eastAsia="Times New Roman" w:cs="Times New Roman"/>
          <w:color w:val="000000"/>
          <w:szCs w:val="24"/>
        </w:rPr>
        <w:t>social inequity</w:t>
      </w:r>
      <w:r w:rsidR="009B1B1C">
        <w:rPr>
          <w:rFonts w:eastAsia="Times New Roman" w:cs="Times New Roman"/>
          <w:color w:val="000000"/>
          <w:szCs w:val="24"/>
        </w:rPr>
        <w:t xml:space="preserve"> in health. </w:t>
      </w:r>
      <w:r w:rsidR="003F1909">
        <w:rPr>
          <w:rFonts w:eastAsia="Times New Roman" w:cs="Times New Roman"/>
          <w:color w:val="000000"/>
          <w:szCs w:val="24"/>
        </w:rPr>
        <w:t xml:space="preserve">  </w:t>
      </w:r>
    </w:p>
    <w:p w:rsidR="00A405E3" w:rsidRPr="00A405E3" w:rsidRDefault="00DF797E" w:rsidP="009B1B1C">
      <w:pPr>
        <w:spacing w:before="100" w:beforeAutospacing="1" w:after="100" w:afterAutospacing="1" w:line="240" w:lineRule="auto"/>
        <w:jc w:val="left"/>
        <w:rPr>
          <w:rFonts w:eastAsia="Times New Roman" w:cs="Times New Roman"/>
          <w:color w:val="000000"/>
          <w:szCs w:val="24"/>
        </w:rPr>
      </w:pPr>
      <w:r>
        <w:rPr>
          <w:rFonts w:eastAsia="Times New Roman" w:cs="Times New Roman"/>
          <w:b/>
          <w:bCs/>
          <w:color w:val="000000"/>
          <w:szCs w:val="24"/>
        </w:rPr>
        <w:t xml:space="preserve">     </w:t>
      </w:r>
      <w:r w:rsidR="00A405E3" w:rsidRPr="00A405E3">
        <w:rPr>
          <w:rFonts w:eastAsia="Times New Roman" w:cs="Times New Roman"/>
          <w:b/>
          <w:bCs/>
          <w:color w:val="000000"/>
          <w:szCs w:val="24"/>
        </w:rPr>
        <w:t>Topic’s significance</w:t>
      </w:r>
    </w:p>
    <w:p w:rsidR="00A405E3" w:rsidRPr="00A405E3" w:rsidRDefault="00A405E3" w:rsidP="00A405E3">
      <w:pPr>
        <w:spacing w:before="100" w:beforeAutospacing="1" w:after="100" w:afterAutospacing="1" w:line="240" w:lineRule="auto"/>
        <w:ind w:firstLine="720"/>
        <w:jc w:val="left"/>
        <w:rPr>
          <w:rFonts w:eastAsia="Times New Roman" w:cs="Times New Roman"/>
          <w:color w:val="000000"/>
          <w:szCs w:val="24"/>
        </w:rPr>
      </w:pPr>
      <w:r w:rsidRPr="00A405E3">
        <w:rPr>
          <w:rFonts w:eastAsia="Times New Roman" w:cs="Times New Roman"/>
          <w:color w:val="000000"/>
          <w:szCs w:val="24"/>
        </w:rPr>
        <w:t>This is a review of how health and disability relate in social status. The society always perceives disabled people as minors and such that they have lesser rights than the rest (</w:t>
      </w:r>
      <w:r w:rsidRPr="00A405E3">
        <w:rPr>
          <w:rFonts w:eastAsia="Times New Roman" w:cs="Times New Roman"/>
          <w:color w:val="222222"/>
          <w:szCs w:val="24"/>
        </w:rPr>
        <w:t>Chatterji et al., 2015</w:t>
      </w:r>
      <w:r w:rsidRPr="00A405E3">
        <w:rPr>
          <w:rFonts w:eastAsia="Times New Roman" w:cs="Times New Roman"/>
          <w:color w:val="000000"/>
          <w:szCs w:val="24"/>
        </w:rPr>
        <w:t>, p. 565). This leads to injustice and intimidation of disabled which if solved and keenly evaluated would raise self-esteem (</w:t>
      </w:r>
      <w:r w:rsidRPr="00A405E3">
        <w:rPr>
          <w:rFonts w:eastAsia="Times New Roman" w:cs="Times New Roman"/>
          <w:color w:val="222222"/>
          <w:szCs w:val="24"/>
        </w:rPr>
        <w:t>Thompson, 2016</w:t>
      </w:r>
      <w:r w:rsidRPr="00A405E3">
        <w:rPr>
          <w:rFonts w:eastAsia="Times New Roman" w:cs="Times New Roman"/>
          <w:color w:val="000000"/>
          <w:szCs w:val="24"/>
        </w:rPr>
        <w:t>). Some the disabilities are triggered by the fact of people being intimidated by others. These are such as the mentally disabled.</w:t>
      </w:r>
      <w:r w:rsidR="009B1B1C">
        <w:rPr>
          <w:rFonts w:eastAsia="Times New Roman" w:cs="Times New Roman"/>
          <w:color w:val="000000"/>
          <w:szCs w:val="24"/>
        </w:rPr>
        <w:t xml:space="preserve"> This is a crucial topic of discussion that can used to try and bring justice to the disabled and chronically ill by giving them equal opportunities just like the majority of the society. </w:t>
      </w:r>
    </w:p>
    <w:p w:rsidR="009B1B1C" w:rsidRDefault="00587AFC" w:rsidP="009B1B1C">
      <w:pPr>
        <w:spacing w:before="100" w:beforeAutospacing="1" w:after="100" w:afterAutospacing="1" w:line="240" w:lineRule="auto"/>
        <w:jc w:val="left"/>
        <w:rPr>
          <w:rFonts w:eastAsia="Times New Roman" w:cs="Times New Roman"/>
          <w:b/>
          <w:bCs/>
          <w:color w:val="000000"/>
          <w:szCs w:val="24"/>
        </w:rPr>
      </w:pPr>
      <w:r>
        <w:rPr>
          <w:rFonts w:eastAsia="Times New Roman" w:cs="Times New Roman"/>
          <w:b/>
          <w:bCs/>
          <w:color w:val="000000"/>
          <w:szCs w:val="24"/>
        </w:rPr>
        <w:t xml:space="preserve">     </w:t>
      </w:r>
      <w:r w:rsidR="005452F3">
        <w:rPr>
          <w:rFonts w:eastAsia="Times New Roman" w:cs="Times New Roman"/>
          <w:b/>
          <w:bCs/>
          <w:color w:val="000000"/>
          <w:szCs w:val="24"/>
        </w:rPr>
        <w:t>Authors’ review</w:t>
      </w:r>
      <w:r w:rsidR="00237CE7">
        <w:rPr>
          <w:rFonts w:eastAsia="Times New Roman" w:cs="Times New Roman"/>
          <w:b/>
          <w:bCs/>
          <w:color w:val="000000"/>
          <w:szCs w:val="24"/>
        </w:rPr>
        <w:t xml:space="preserve">, </w:t>
      </w:r>
      <w:r w:rsidR="00292599">
        <w:rPr>
          <w:rFonts w:eastAsia="Times New Roman" w:cs="Times New Roman"/>
          <w:b/>
          <w:bCs/>
          <w:color w:val="000000"/>
          <w:szCs w:val="24"/>
        </w:rPr>
        <w:t>complements and contrasts</w:t>
      </w:r>
    </w:p>
    <w:p w:rsidR="00A405E3" w:rsidRPr="00A405E3" w:rsidRDefault="00A405E3" w:rsidP="005452F3">
      <w:pPr>
        <w:spacing w:before="100" w:beforeAutospacing="1" w:after="100" w:afterAutospacing="1" w:line="240" w:lineRule="auto"/>
        <w:ind w:firstLine="720"/>
        <w:jc w:val="left"/>
        <w:rPr>
          <w:rFonts w:eastAsia="Times New Roman" w:cs="Times New Roman"/>
          <w:color w:val="000000"/>
          <w:szCs w:val="24"/>
        </w:rPr>
      </w:pPr>
      <w:r w:rsidRPr="00A405E3">
        <w:rPr>
          <w:rFonts w:eastAsia="Times New Roman" w:cs="Times New Roman"/>
          <w:color w:val="000000"/>
          <w:szCs w:val="24"/>
        </w:rPr>
        <w:t>In the first view, the author evaluates the paradigms made by the society between medical</w:t>
      </w:r>
      <w:r w:rsidR="00DF797E">
        <w:rPr>
          <w:rFonts w:eastAsia="Times New Roman" w:cs="Times New Roman"/>
          <w:color w:val="000000"/>
          <w:szCs w:val="24"/>
        </w:rPr>
        <w:t xml:space="preserve"> sociology and disability. He a</w:t>
      </w:r>
      <w:r w:rsidR="00DF797E" w:rsidRPr="00A405E3">
        <w:rPr>
          <w:rFonts w:eastAsia="Times New Roman" w:cs="Times New Roman"/>
          <w:color w:val="000000"/>
          <w:szCs w:val="24"/>
        </w:rPr>
        <w:t>r</w:t>
      </w:r>
      <w:r w:rsidR="00DF797E">
        <w:rPr>
          <w:rFonts w:eastAsia="Times New Roman" w:cs="Times New Roman"/>
          <w:color w:val="000000"/>
          <w:szCs w:val="24"/>
        </w:rPr>
        <w:t>gue</w:t>
      </w:r>
      <w:r w:rsidR="00DF797E" w:rsidRPr="00A405E3">
        <w:rPr>
          <w:rFonts w:eastAsia="Times New Roman" w:cs="Times New Roman"/>
          <w:color w:val="000000"/>
          <w:szCs w:val="24"/>
        </w:rPr>
        <w:t>s</w:t>
      </w:r>
      <w:r w:rsidRPr="00A405E3">
        <w:rPr>
          <w:rFonts w:eastAsia="Times New Roman" w:cs="Times New Roman"/>
          <w:color w:val="000000"/>
          <w:szCs w:val="24"/>
        </w:rPr>
        <w:t xml:space="preserve"> that the paradigms should change for the better of the society and that it is time that this discrimination is considered just like any form of social inequality (</w:t>
      </w:r>
      <w:r w:rsidRPr="00A405E3">
        <w:rPr>
          <w:rFonts w:eastAsia="Times New Roman" w:cs="Times New Roman"/>
          <w:color w:val="222222"/>
          <w:szCs w:val="24"/>
        </w:rPr>
        <w:t>Shakespeare, 2013</w:t>
      </w:r>
      <w:r w:rsidRPr="00A405E3">
        <w:rPr>
          <w:rFonts w:eastAsia="Times New Roman" w:cs="Times New Roman"/>
          <w:color w:val="000000"/>
          <w:szCs w:val="24"/>
        </w:rPr>
        <w:t>). He suggests that this issue is multidisciplinary and should be addressed with diversity. This opens door to some of his argument concerning it. The other author views the disability as a personal issue and not a societal issue. The society disables people by setting everything in favor of the majority discriminating the minority mostly the disabled and chronically ill (</w:t>
      </w:r>
      <w:r w:rsidRPr="00A405E3">
        <w:rPr>
          <w:rFonts w:eastAsia="Times New Roman" w:cs="Times New Roman"/>
          <w:color w:val="222222"/>
          <w:szCs w:val="24"/>
        </w:rPr>
        <w:t>Scambler, 2016</w:t>
      </w:r>
      <w:r w:rsidRPr="00A405E3">
        <w:rPr>
          <w:rFonts w:eastAsia="Times New Roman" w:cs="Times New Roman"/>
          <w:color w:val="000000"/>
          <w:szCs w:val="24"/>
        </w:rPr>
        <w:t>). This creates division and discrimination of the minority who have equal rights to access to every amenity just as others (</w:t>
      </w:r>
      <w:r w:rsidRPr="00A405E3">
        <w:rPr>
          <w:rFonts w:eastAsia="Times New Roman" w:cs="Times New Roman"/>
          <w:color w:val="222222"/>
          <w:szCs w:val="24"/>
        </w:rPr>
        <w:t>Chatterji et al., 2015</w:t>
      </w:r>
      <w:r w:rsidRPr="00A405E3">
        <w:rPr>
          <w:rFonts w:eastAsia="Times New Roman" w:cs="Times New Roman"/>
          <w:color w:val="000000"/>
          <w:szCs w:val="24"/>
        </w:rPr>
        <w:t>, p. 565). He suggests that there is a great need for society to change this practice and instead promote ultimately equity by supporting them. This should be successfully made by the entire society rather the disabled and chronically ill persons. Barriers available in the society should be partially/wholly eliminate to support these individuals.</w:t>
      </w:r>
      <w:r w:rsidR="005452F3">
        <w:rPr>
          <w:rFonts w:eastAsia="Times New Roman" w:cs="Times New Roman"/>
          <w:color w:val="000000"/>
          <w:szCs w:val="24"/>
        </w:rPr>
        <w:t xml:space="preserve"> </w:t>
      </w:r>
      <w:r w:rsidRPr="00A405E3">
        <w:rPr>
          <w:rFonts w:eastAsia="Times New Roman" w:cs="Times New Roman"/>
          <w:color w:val="000000"/>
          <w:szCs w:val="24"/>
        </w:rPr>
        <w:t>Both authors agree on the fact that the disabled and the chronically ill should be given equal chances and platforms just like the rest of society (</w:t>
      </w:r>
      <w:r w:rsidRPr="00A405E3">
        <w:rPr>
          <w:rFonts w:eastAsia="Times New Roman" w:cs="Times New Roman"/>
          <w:color w:val="222222"/>
          <w:szCs w:val="24"/>
        </w:rPr>
        <w:t>Emerson and Baines, 2011</w:t>
      </w:r>
      <w:r w:rsidRPr="00A405E3">
        <w:rPr>
          <w:rFonts w:eastAsia="Times New Roman" w:cs="Times New Roman"/>
          <w:color w:val="000000"/>
          <w:szCs w:val="24"/>
        </w:rPr>
        <w:t>, p. 45). Also that the society should stop their discrimination but instead support them by all means so that they can live better. The first argues that it is a responsibility of particular individuals to play a part to support themselves especially the chronically ill following the medics instructions while the other states that the society is fully responsible for the support of these individuals. The first shows that the disabled and chronically should be helped to evaluate their activities but the second states that barriers should be pulled and these people given the same opportunities as the rest.</w:t>
      </w:r>
    </w:p>
    <w:p w:rsidR="00A405E3" w:rsidRPr="00A405E3" w:rsidRDefault="00587AFC" w:rsidP="00A405E3">
      <w:pPr>
        <w:spacing w:before="100" w:beforeAutospacing="1" w:after="100" w:afterAutospacing="1" w:line="240" w:lineRule="auto"/>
        <w:jc w:val="left"/>
        <w:rPr>
          <w:rFonts w:eastAsia="Times New Roman" w:cs="Times New Roman"/>
          <w:color w:val="000000"/>
          <w:szCs w:val="24"/>
        </w:rPr>
      </w:pPr>
      <w:r>
        <w:rPr>
          <w:rFonts w:eastAsia="Times New Roman" w:cs="Times New Roman"/>
          <w:b/>
          <w:bCs/>
          <w:color w:val="000000"/>
          <w:szCs w:val="24"/>
        </w:rPr>
        <w:t>Author</w:t>
      </w:r>
      <w:r w:rsidR="00A405E3" w:rsidRPr="00A405E3">
        <w:rPr>
          <w:rFonts w:eastAsia="Times New Roman" w:cs="Times New Roman"/>
          <w:b/>
          <w:bCs/>
          <w:color w:val="000000"/>
          <w:szCs w:val="24"/>
        </w:rPr>
        <w:t xml:space="preserve"> A</w:t>
      </w:r>
      <w:r w:rsidR="005452F3">
        <w:rPr>
          <w:rFonts w:eastAsia="Times New Roman" w:cs="Times New Roman"/>
          <w:b/>
          <w:bCs/>
          <w:color w:val="000000"/>
          <w:szCs w:val="24"/>
        </w:rPr>
        <w:t xml:space="preserve"> evaluation</w:t>
      </w:r>
    </w:p>
    <w:p w:rsidR="00A405E3" w:rsidRPr="00A405E3" w:rsidRDefault="00A405E3" w:rsidP="00A405E3">
      <w:pPr>
        <w:spacing w:before="100" w:beforeAutospacing="1" w:after="100" w:afterAutospacing="1" w:line="240" w:lineRule="auto"/>
        <w:ind w:firstLine="720"/>
        <w:jc w:val="left"/>
        <w:rPr>
          <w:rFonts w:eastAsia="Times New Roman" w:cs="Times New Roman"/>
          <w:color w:val="000000"/>
          <w:szCs w:val="24"/>
        </w:rPr>
      </w:pPr>
      <w:r w:rsidRPr="00A405E3">
        <w:rPr>
          <w:rFonts w:eastAsia="Times New Roman" w:cs="Times New Roman"/>
          <w:color w:val="000000"/>
          <w:szCs w:val="24"/>
        </w:rPr>
        <w:t>The author brings up three arguments relating to this issue. It suggested that intellectuals should get together and consider popularizing disability discrimination as a global problem just like the rest of the other discriminations. It is argued that people with disability are not often given an equal measure of health care services especially if suffering from chronic illnesses (</w:t>
      </w:r>
      <w:r w:rsidRPr="00A405E3">
        <w:rPr>
          <w:rFonts w:eastAsia="Times New Roman" w:cs="Times New Roman"/>
          <w:color w:val="222222"/>
          <w:szCs w:val="24"/>
        </w:rPr>
        <w:t>Scambler, 2016</w:t>
      </w:r>
      <w:r w:rsidRPr="00A405E3">
        <w:rPr>
          <w:rFonts w:eastAsia="Times New Roman" w:cs="Times New Roman"/>
          <w:color w:val="000000"/>
          <w:szCs w:val="24"/>
        </w:rPr>
        <w:t>). They are perceived as social deviants with the health professionals discriminating them form the ‘normal’ individuals. At some points, it perceived that some patients infected by chronic illness at times are forced to leave their social roles to maintain their conditions (</w:t>
      </w:r>
      <w:r w:rsidRPr="00A405E3">
        <w:rPr>
          <w:rFonts w:eastAsia="Times New Roman" w:cs="Times New Roman"/>
          <w:color w:val="222222"/>
          <w:szCs w:val="24"/>
        </w:rPr>
        <w:t>Chatterji et al., 2015</w:t>
      </w:r>
      <w:r w:rsidRPr="00A405E3">
        <w:rPr>
          <w:rFonts w:eastAsia="Times New Roman" w:cs="Times New Roman"/>
          <w:color w:val="000000"/>
          <w:szCs w:val="24"/>
        </w:rPr>
        <w:t>, p. 565). This is often different for the ones with chronic illness from the others with acute illness. Medics at times advice these patients to a “mandatory” leave from their social roles so that to effectively manage their conditions making the feel minor (</w:t>
      </w:r>
      <w:r w:rsidRPr="00A405E3">
        <w:rPr>
          <w:rFonts w:eastAsia="Times New Roman" w:cs="Times New Roman"/>
          <w:color w:val="222222"/>
          <w:szCs w:val="24"/>
        </w:rPr>
        <w:t>Yeates, 2014</w:t>
      </w:r>
      <w:r w:rsidRPr="00A405E3">
        <w:rPr>
          <w:rFonts w:eastAsia="Times New Roman" w:cs="Times New Roman"/>
          <w:color w:val="000000"/>
          <w:szCs w:val="24"/>
        </w:rPr>
        <w:t>). It of necessity that chronically ill patients should be followed up and given proper appropriate medication while helping the recover quickly. They should be taken care of by the rest of their family members and friends who often leave them since they find them disturbing to manage and associate with (</w:t>
      </w:r>
      <w:r w:rsidRPr="00A405E3">
        <w:rPr>
          <w:rFonts w:eastAsia="Times New Roman" w:cs="Times New Roman"/>
          <w:color w:val="222222"/>
          <w:szCs w:val="24"/>
        </w:rPr>
        <w:t>Henderson et al, 2013</w:t>
      </w:r>
      <w:r w:rsidRPr="00A405E3">
        <w:rPr>
          <w:rFonts w:eastAsia="Times New Roman" w:cs="Times New Roman"/>
          <w:color w:val="000000"/>
          <w:szCs w:val="24"/>
        </w:rPr>
        <w:t>, p. 780). These patients should also be supported to fully recover from their conditions by ensuring that they strictly follow the given instruction by the medics. There is need for the health policies to be changed ad adjusted so that to accommodate the chronically ill patients to access health facilities just like any other people. Chronically ill and disabled individuals are also disadvantaged when it gets to social-structures while also research about the disabled persons has been mainly been left out to the disabled persons with minimal support from the medical field (</w:t>
      </w:r>
      <w:r w:rsidRPr="00A405E3">
        <w:rPr>
          <w:rFonts w:eastAsia="Times New Roman" w:cs="Times New Roman"/>
          <w:color w:val="222222"/>
          <w:szCs w:val="24"/>
        </w:rPr>
        <w:t>Scambler, 2016</w:t>
      </w:r>
      <w:r w:rsidRPr="00A405E3">
        <w:rPr>
          <w:rFonts w:eastAsia="Times New Roman" w:cs="Times New Roman"/>
          <w:color w:val="000000"/>
          <w:szCs w:val="24"/>
        </w:rPr>
        <w:t>).   </w:t>
      </w:r>
    </w:p>
    <w:p w:rsidR="00A405E3" w:rsidRPr="00A405E3" w:rsidRDefault="00DF797E" w:rsidP="00A405E3">
      <w:pPr>
        <w:spacing w:before="100" w:beforeAutospacing="1" w:after="100" w:afterAutospacing="1" w:line="240" w:lineRule="auto"/>
        <w:jc w:val="left"/>
        <w:rPr>
          <w:rFonts w:eastAsia="Times New Roman" w:cs="Times New Roman"/>
          <w:color w:val="000000"/>
          <w:szCs w:val="24"/>
        </w:rPr>
      </w:pPr>
      <w:r>
        <w:rPr>
          <w:rFonts w:eastAsia="Times New Roman" w:cs="Times New Roman"/>
          <w:b/>
          <w:bCs/>
          <w:color w:val="000000"/>
          <w:szCs w:val="24"/>
        </w:rPr>
        <w:t>Author</w:t>
      </w:r>
      <w:r w:rsidR="00A405E3" w:rsidRPr="00A405E3">
        <w:rPr>
          <w:rFonts w:eastAsia="Times New Roman" w:cs="Times New Roman"/>
          <w:b/>
          <w:bCs/>
          <w:color w:val="000000"/>
          <w:szCs w:val="24"/>
        </w:rPr>
        <w:t xml:space="preserve"> B</w:t>
      </w:r>
      <w:r w:rsidR="005452F3">
        <w:rPr>
          <w:rFonts w:eastAsia="Times New Roman" w:cs="Times New Roman"/>
          <w:b/>
          <w:bCs/>
          <w:color w:val="000000"/>
          <w:szCs w:val="24"/>
        </w:rPr>
        <w:t xml:space="preserve"> evaluation</w:t>
      </w:r>
    </w:p>
    <w:p w:rsidR="00A405E3" w:rsidRPr="00A405E3" w:rsidRDefault="00A405E3" w:rsidP="00A405E3">
      <w:pPr>
        <w:spacing w:before="100" w:beforeAutospacing="1" w:after="100" w:afterAutospacing="1" w:line="240" w:lineRule="auto"/>
        <w:ind w:firstLine="720"/>
        <w:jc w:val="left"/>
        <w:rPr>
          <w:rFonts w:eastAsia="Times New Roman" w:cs="Times New Roman"/>
          <w:color w:val="000000"/>
          <w:szCs w:val="24"/>
        </w:rPr>
      </w:pPr>
      <w:r w:rsidRPr="00A405E3">
        <w:rPr>
          <w:rFonts w:eastAsia="Times New Roman" w:cs="Times New Roman"/>
          <w:color w:val="000000"/>
          <w:szCs w:val="24"/>
        </w:rPr>
        <w:t>The other author perceives that society is the main source of discrimination and it should be fully responsible for the reformation of the whole thing. This is by removing all barriers available for the support of the minor group (</w:t>
      </w:r>
      <w:r w:rsidRPr="00A405E3">
        <w:rPr>
          <w:rFonts w:eastAsia="Times New Roman" w:cs="Times New Roman"/>
          <w:color w:val="222222"/>
          <w:szCs w:val="24"/>
        </w:rPr>
        <w:t>Yeates, 2014</w:t>
      </w:r>
      <w:r w:rsidRPr="00A405E3">
        <w:rPr>
          <w:rFonts w:eastAsia="Times New Roman" w:cs="Times New Roman"/>
          <w:color w:val="000000"/>
          <w:szCs w:val="24"/>
        </w:rPr>
        <w:t>). He illustrates some examples of issues that chronically ill and disabled people pass through where the society perceives them as the ones who are against the formalities rather than its the society that needs to adjust and help in all their endeavors (</w:t>
      </w:r>
      <w:r w:rsidRPr="00A405E3">
        <w:rPr>
          <w:rFonts w:eastAsia="Times New Roman" w:cs="Times New Roman"/>
          <w:color w:val="222222"/>
          <w:szCs w:val="24"/>
        </w:rPr>
        <w:t>Chatterji et al., 2015</w:t>
      </w:r>
      <w:r w:rsidRPr="00A405E3">
        <w:rPr>
          <w:rFonts w:eastAsia="Times New Roman" w:cs="Times New Roman"/>
          <w:color w:val="000000"/>
          <w:szCs w:val="24"/>
        </w:rPr>
        <w:t>, p. 565). A theory is inclusive ensuring that the disadvantaged are included in every social activity. It should be on an equal platform just like the majority (</w:t>
      </w:r>
      <w:r w:rsidRPr="00A405E3">
        <w:rPr>
          <w:rFonts w:eastAsia="Times New Roman" w:cs="Times New Roman"/>
          <w:color w:val="222222"/>
          <w:szCs w:val="24"/>
        </w:rPr>
        <w:t>Heslop et al., 2014, p. 893</w:t>
      </w:r>
      <w:r w:rsidRPr="00A405E3">
        <w:rPr>
          <w:rFonts w:eastAsia="Times New Roman" w:cs="Times New Roman"/>
          <w:color w:val="000000"/>
          <w:szCs w:val="24"/>
        </w:rPr>
        <w:t>). Certain adjustments should be made no matter what to allow the chronically, acutely ill and disabled for them to fit in every activity especially the social aspect and their personal life as well. Every head of any activity should first consider these “minors” before its start and make inquiries about them while also listening to their opinions for proper management and setting.</w:t>
      </w:r>
    </w:p>
    <w:p w:rsidR="00A405E3" w:rsidRPr="00A405E3" w:rsidRDefault="00A405E3" w:rsidP="00A405E3">
      <w:pPr>
        <w:spacing w:before="100" w:beforeAutospacing="1" w:after="100" w:afterAutospacing="1" w:line="240" w:lineRule="auto"/>
        <w:jc w:val="left"/>
        <w:rPr>
          <w:rFonts w:eastAsia="Times New Roman" w:cs="Times New Roman"/>
          <w:color w:val="000000"/>
          <w:szCs w:val="24"/>
        </w:rPr>
      </w:pPr>
      <w:r w:rsidRPr="00A405E3">
        <w:rPr>
          <w:rFonts w:eastAsia="Times New Roman" w:cs="Times New Roman"/>
          <w:b/>
          <w:bCs/>
          <w:color w:val="000000"/>
          <w:szCs w:val="24"/>
        </w:rPr>
        <w:t>Compari</w:t>
      </w:r>
      <w:r w:rsidR="00237CE7">
        <w:rPr>
          <w:rFonts w:eastAsia="Times New Roman" w:cs="Times New Roman"/>
          <w:b/>
          <w:bCs/>
          <w:color w:val="000000"/>
          <w:szCs w:val="24"/>
        </w:rPr>
        <w:t>son and contrast between</w:t>
      </w:r>
      <w:r w:rsidRPr="00A405E3">
        <w:rPr>
          <w:rFonts w:eastAsia="Times New Roman" w:cs="Times New Roman"/>
          <w:b/>
          <w:bCs/>
          <w:color w:val="000000"/>
          <w:szCs w:val="24"/>
        </w:rPr>
        <w:t xml:space="preserve"> author</w:t>
      </w:r>
      <w:r w:rsidR="00237CE7">
        <w:rPr>
          <w:rFonts w:eastAsia="Times New Roman" w:cs="Times New Roman"/>
          <w:b/>
          <w:bCs/>
          <w:color w:val="000000"/>
          <w:szCs w:val="24"/>
        </w:rPr>
        <w:t xml:space="preserve"> A and author B</w:t>
      </w:r>
    </w:p>
    <w:p w:rsidR="00587AFC" w:rsidRDefault="00A405E3" w:rsidP="00587AFC">
      <w:pPr>
        <w:spacing w:before="100" w:beforeAutospacing="1" w:after="100" w:afterAutospacing="1" w:line="240" w:lineRule="auto"/>
        <w:ind w:firstLine="720"/>
        <w:jc w:val="left"/>
        <w:rPr>
          <w:rFonts w:eastAsia="Times New Roman" w:cs="Times New Roman"/>
          <w:color w:val="000000"/>
          <w:szCs w:val="24"/>
        </w:rPr>
      </w:pPr>
      <w:r w:rsidRPr="00A405E3">
        <w:rPr>
          <w:rFonts w:eastAsia="Times New Roman" w:cs="Times New Roman"/>
          <w:color w:val="000000"/>
          <w:szCs w:val="24"/>
        </w:rPr>
        <w:t>It observed that the first author raises concern for the discrimination of the chronically ill and disabled by the entire society and suggests that they should be treated just like the rest of the non-disabled (</w:t>
      </w:r>
      <w:r w:rsidRPr="00A405E3">
        <w:rPr>
          <w:rFonts w:eastAsia="Times New Roman" w:cs="Times New Roman"/>
          <w:color w:val="222222"/>
          <w:szCs w:val="24"/>
        </w:rPr>
        <w:t>Yeates, 2014</w:t>
      </w:r>
      <w:r w:rsidRPr="00A405E3">
        <w:rPr>
          <w:rFonts w:eastAsia="Times New Roman" w:cs="Times New Roman"/>
          <w:color w:val="000000"/>
          <w:szCs w:val="24"/>
        </w:rPr>
        <w:t>). This is shown by the second who suggest that there should be equality when handling the disabled just like the non-disabled. The first suggest shows the need for medics to greatly help in the management of the chronically ill and also the disabled (</w:t>
      </w:r>
      <w:r w:rsidRPr="00A405E3">
        <w:rPr>
          <w:rFonts w:eastAsia="Times New Roman" w:cs="Times New Roman"/>
          <w:color w:val="222222"/>
          <w:szCs w:val="24"/>
        </w:rPr>
        <w:t>Chatterji et al., 2015</w:t>
      </w:r>
      <w:r w:rsidRPr="00A405E3">
        <w:rPr>
          <w:rFonts w:eastAsia="Times New Roman" w:cs="Times New Roman"/>
          <w:color w:val="000000"/>
          <w:szCs w:val="24"/>
        </w:rPr>
        <w:t>, p. 565). This is also shown in by the second who suggests that health professions should treat and give the disabled and chronically appropriate medication and services just like the majority.The first illustrates the need to make the discrimination a social inequity just like the rest of other social injustices. While the second one suggests the need for the society to change from its current biasedness to an aspect of supporting the disabled and chronically ill. The first states that the disabled and chronically ill people should be supported to preform research about disability but the second suggest that medics should an equal platform just as the other people.</w:t>
      </w:r>
    </w:p>
    <w:p w:rsidR="00A405E3" w:rsidRPr="00A405E3" w:rsidRDefault="00587AFC" w:rsidP="00587AFC">
      <w:pPr>
        <w:spacing w:before="100" w:beforeAutospacing="1" w:after="100" w:afterAutospacing="1" w:line="240" w:lineRule="auto"/>
        <w:jc w:val="left"/>
        <w:rPr>
          <w:rFonts w:eastAsia="Times New Roman" w:cs="Times New Roman"/>
          <w:color w:val="000000"/>
          <w:szCs w:val="24"/>
        </w:rPr>
      </w:pPr>
      <w:r>
        <w:rPr>
          <w:rFonts w:eastAsia="Times New Roman" w:cs="Times New Roman"/>
          <w:color w:val="000000"/>
          <w:szCs w:val="24"/>
        </w:rPr>
        <w:t xml:space="preserve">    </w:t>
      </w:r>
      <w:r w:rsidRPr="00237CE7">
        <w:rPr>
          <w:rFonts w:eastAsia="Times New Roman" w:cs="Times New Roman"/>
          <w:b/>
          <w:color w:val="000000"/>
          <w:szCs w:val="24"/>
        </w:rPr>
        <w:t xml:space="preserve"> </w:t>
      </w:r>
      <w:r w:rsidR="00237CE7" w:rsidRPr="00237CE7">
        <w:rPr>
          <w:rFonts w:eastAsia="Times New Roman" w:cs="Times New Roman"/>
          <w:b/>
          <w:color w:val="000000"/>
          <w:szCs w:val="24"/>
        </w:rPr>
        <w:t xml:space="preserve">Summary </w:t>
      </w:r>
      <w:r w:rsidR="00237CE7">
        <w:rPr>
          <w:rFonts w:eastAsia="Times New Roman" w:cs="Times New Roman"/>
          <w:b/>
          <w:color w:val="000000"/>
          <w:szCs w:val="24"/>
        </w:rPr>
        <w:t>of k</w:t>
      </w:r>
      <w:r>
        <w:rPr>
          <w:rFonts w:eastAsia="Times New Roman" w:cs="Times New Roman"/>
          <w:b/>
          <w:bCs/>
          <w:color w:val="000000"/>
          <w:szCs w:val="24"/>
        </w:rPr>
        <w:t xml:space="preserve">ey learning from the topic </w:t>
      </w:r>
    </w:p>
    <w:p w:rsidR="00A405E3" w:rsidRPr="00A405E3" w:rsidRDefault="00A405E3" w:rsidP="00587AFC">
      <w:pPr>
        <w:spacing w:before="100" w:beforeAutospacing="1" w:after="100" w:afterAutospacing="1" w:line="240" w:lineRule="auto"/>
        <w:ind w:firstLine="720"/>
        <w:jc w:val="left"/>
        <w:rPr>
          <w:rFonts w:eastAsia="Times New Roman" w:cs="Times New Roman"/>
          <w:color w:val="000000"/>
          <w:szCs w:val="24"/>
        </w:rPr>
      </w:pPr>
      <w:r w:rsidRPr="00A405E3">
        <w:rPr>
          <w:rFonts w:eastAsia="Times New Roman" w:cs="Times New Roman"/>
          <w:color w:val="000000"/>
          <w:szCs w:val="24"/>
        </w:rPr>
        <w:t>Social inequality due to disability and chronic illness are a crucial issue and topic of discussion in our societies and the globe at large. Disabled chronically ill people are regarded as a burden to the society and are undermined receiving lesser treatment opposed to the non-disabled. These should be enabled to do all their activities without discrimination but by abolishing any barriers in their way for them to meet their social and personal activities. Medics should be in a front line to help in the health management and follow up of these individuals (</w:t>
      </w:r>
      <w:r w:rsidRPr="00A405E3">
        <w:rPr>
          <w:rFonts w:eastAsia="Times New Roman" w:cs="Times New Roman"/>
          <w:color w:val="222222"/>
          <w:szCs w:val="24"/>
        </w:rPr>
        <w:t>Yeates, 2014</w:t>
      </w:r>
      <w:r w:rsidRPr="00A405E3">
        <w:rPr>
          <w:rFonts w:eastAsia="Times New Roman" w:cs="Times New Roman"/>
          <w:color w:val="000000"/>
          <w:szCs w:val="24"/>
        </w:rPr>
        <w:t>).</w:t>
      </w:r>
    </w:p>
    <w:p w:rsidR="005452F3" w:rsidRPr="00292599" w:rsidRDefault="00292599" w:rsidP="00292599">
      <w:pPr>
        <w:spacing w:before="100" w:beforeAutospacing="1" w:after="100" w:afterAutospacing="1" w:line="240" w:lineRule="auto"/>
        <w:jc w:val="left"/>
        <w:rPr>
          <w:rFonts w:eastAsia="Times New Roman" w:cs="Times New Roman"/>
          <w:b/>
          <w:color w:val="000000"/>
          <w:szCs w:val="24"/>
        </w:rPr>
      </w:pPr>
      <w:r>
        <w:rPr>
          <w:rFonts w:eastAsia="Times New Roman" w:cs="Times New Roman"/>
          <w:b/>
          <w:color w:val="000000"/>
          <w:szCs w:val="24"/>
        </w:rPr>
        <w:t xml:space="preserve">     </w:t>
      </w:r>
      <w:r w:rsidRPr="00292599">
        <w:rPr>
          <w:rFonts w:eastAsia="Times New Roman" w:cs="Times New Roman"/>
          <w:b/>
          <w:color w:val="000000"/>
          <w:szCs w:val="24"/>
        </w:rPr>
        <w:t xml:space="preserve">How well the authors make their arguments </w:t>
      </w:r>
    </w:p>
    <w:p w:rsidR="00A405E3" w:rsidRDefault="00A405E3" w:rsidP="00A405E3">
      <w:pPr>
        <w:spacing w:before="100" w:beforeAutospacing="1" w:after="100" w:afterAutospacing="1" w:line="240" w:lineRule="auto"/>
        <w:ind w:firstLine="720"/>
        <w:jc w:val="left"/>
        <w:rPr>
          <w:rFonts w:eastAsia="Times New Roman" w:cs="Times New Roman"/>
          <w:color w:val="000000"/>
          <w:szCs w:val="24"/>
        </w:rPr>
      </w:pPr>
      <w:r w:rsidRPr="00A405E3">
        <w:rPr>
          <w:rFonts w:eastAsia="Times New Roman" w:cs="Times New Roman"/>
          <w:color w:val="000000"/>
          <w:szCs w:val="24"/>
        </w:rPr>
        <w:t>Both authors show the need to support to support the chronically ill and disabled suggesting that the issue should be made global. This is to sensitize every responsible organization on the relevance of considering this factor just like any other social inequality (</w:t>
      </w:r>
      <w:r w:rsidRPr="00A405E3">
        <w:rPr>
          <w:rFonts w:eastAsia="Times New Roman" w:cs="Times New Roman"/>
          <w:color w:val="222222"/>
          <w:szCs w:val="24"/>
        </w:rPr>
        <w:t>Emerson and Baines, 2011</w:t>
      </w:r>
      <w:r w:rsidRPr="00A405E3">
        <w:rPr>
          <w:rFonts w:eastAsia="Times New Roman" w:cs="Times New Roman"/>
          <w:color w:val="000000"/>
          <w:szCs w:val="24"/>
        </w:rPr>
        <w:t>, p. 45). They give examples of how the disabled people are discriminating and left out on their own without enough care and support. They use other related sources of supportive materials and theories to bring out their arguments. They perceive the issue in a diverse direction to ensure that every aspect of the discrimination is completely dealt with and addressed. They give a suggestion of this menace should be handled and dealt with for the equality of entire societies and the world (</w:t>
      </w:r>
      <w:r w:rsidRPr="00A405E3">
        <w:rPr>
          <w:rFonts w:eastAsia="Times New Roman" w:cs="Times New Roman"/>
          <w:color w:val="222222"/>
          <w:szCs w:val="24"/>
        </w:rPr>
        <w:t>Chatterji et al., 2015</w:t>
      </w:r>
      <w:r w:rsidRPr="00A405E3">
        <w:rPr>
          <w:rFonts w:eastAsia="Times New Roman" w:cs="Times New Roman"/>
          <w:color w:val="000000"/>
          <w:szCs w:val="24"/>
        </w:rPr>
        <w:t>, p. 565). They also involve different organizations; medics, researchers leaders to show the importance of the whole issue.</w:t>
      </w:r>
    </w:p>
    <w:p w:rsidR="00587AFC" w:rsidRPr="00587AFC" w:rsidRDefault="005452F3" w:rsidP="00587AFC">
      <w:pPr>
        <w:spacing w:before="100" w:beforeAutospacing="1" w:after="100" w:afterAutospacing="1" w:line="240" w:lineRule="auto"/>
        <w:jc w:val="left"/>
        <w:rPr>
          <w:rFonts w:eastAsia="Times New Roman" w:cs="Times New Roman"/>
          <w:b/>
          <w:color w:val="000000"/>
          <w:szCs w:val="24"/>
        </w:rPr>
      </w:pPr>
      <w:r>
        <w:rPr>
          <w:rFonts w:eastAsia="Times New Roman" w:cs="Times New Roman"/>
          <w:b/>
          <w:color w:val="000000"/>
          <w:szCs w:val="24"/>
        </w:rPr>
        <w:t>Recommendation for f</w:t>
      </w:r>
      <w:r w:rsidR="00587AFC" w:rsidRPr="00587AFC">
        <w:rPr>
          <w:rFonts w:eastAsia="Times New Roman" w:cs="Times New Roman"/>
          <w:b/>
          <w:color w:val="000000"/>
          <w:szCs w:val="24"/>
        </w:rPr>
        <w:t xml:space="preserve">urther reading topic </w:t>
      </w:r>
    </w:p>
    <w:p w:rsidR="00A405E3" w:rsidRPr="00A405E3" w:rsidRDefault="00587AFC" w:rsidP="00587AFC">
      <w:pPr>
        <w:spacing w:before="100" w:beforeAutospacing="1" w:after="100" w:afterAutospacing="1" w:line="240" w:lineRule="auto"/>
        <w:jc w:val="left"/>
        <w:rPr>
          <w:rFonts w:eastAsia="Times New Roman" w:cs="Times New Roman"/>
          <w:color w:val="000000"/>
          <w:szCs w:val="24"/>
        </w:rPr>
      </w:pPr>
      <w:r>
        <w:rPr>
          <w:rFonts w:eastAsia="Times New Roman" w:cs="Times New Roman"/>
          <w:b/>
          <w:bCs/>
          <w:color w:val="000000"/>
          <w:szCs w:val="24"/>
        </w:rPr>
        <w:t xml:space="preserve">     </w:t>
      </w:r>
      <w:r w:rsidR="00A405E3" w:rsidRPr="00A405E3">
        <w:rPr>
          <w:rFonts w:eastAsia="Times New Roman" w:cs="Times New Roman"/>
          <w:b/>
          <w:bCs/>
          <w:color w:val="000000"/>
          <w:szCs w:val="24"/>
        </w:rPr>
        <w:t>Poverty in relation to disability and health</w:t>
      </w:r>
    </w:p>
    <w:p w:rsidR="00A405E3" w:rsidRPr="00A405E3" w:rsidRDefault="00A405E3" w:rsidP="00587AFC">
      <w:pPr>
        <w:spacing w:before="100" w:beforeAutospacing="1" w:after="100" w:afterAutospacing="1" w:line="240" w:lineRule="auto"/>
        <w:ind w:firstLine="720"/>
        <w:jc w:val="left"/>
        <w:rPr>
          <w:rFonts w:eastAsia="Times New Roman" w:cs="Times New Roman"/>
          <w:color w:val="000000"/>
          <w:szCs w:val="24"/>
        </w:rPr>
      </w:pPr>
      <w:r w:rsidRPr="00A405E3">
        <w:rPr>
          <w:rFonts w:eastAsia="Times New Roman" w:cs="Times New Roman"/>
          <w:color w:val="000000"/>
          <w:szCs w:val="24"/>
        </w:rPr>
        <w:t>It is hypothesized that good health is directly related to the social and economic status of any individual. The poor people often have poor health due to inability to afford some good diet and proper medication as well which can highly lead to physical and mental disturbances (</w:t>
      </w:r>
      <w:r w:rsidRPr="00A405E3">
        <w:rPr>
          <w:rFonts w:eastAsia="Times New Roman" w:cs="Times New Roman"/>
          <w:color w:val="222222"/>
          <w:szCs w:val="24"/>
        </w:rPr>
        <w:t>Gooding, 2013, </w:t>
      </w:r>
      <w:r w:rsidRPr="00A405E3">
        <w:rPr>
          <w:rFonts w:eastAsia="Times New Roman" w:cs="Times New Roman"/>
          <w:color w:val="000000"/>
          <w:szCs w:val="24"/>
        </w:rPr>
        <w:t>p. 433). Income and employment highly determine the well-being of individuals with the unemployed part being prone to health problems. Various factors emerge affecting the overall economic status of individuals leading to unemployment which affects each of them depriving their well-being. It is therefore important for the relevant authorities to take relevant measures to curb this (</w:t>
      </w:r>
      <w:r w:rsidRPr="00A405E3">
        <w:rPr>
          <w:rFonts w:eastAsia="Times New Roman" w:cs="Times New Roman"/>
          <w:color w:val="222222"/>
          <w:szCs w:val="24"/>
        </w:rPr>
        <w:t>Emerson and Baines, 2011</w:t>
      </w:r>
      <w:r w:rsidRPr="00A405E3">
        <w:rPr>
          <w:rFonts w:eastAsia="Times New Roman" w:cs="Times New Roman"/>
          <w:color w:val="000000"/>
          <w:szCs w:val="24"/>
        </w:rPr>
        <w:t>, p. 45). Disability and health have a relation with that poverty can be a consequence or cause of poverty to individuals. Due to disability, people can lose their source of income, therefore, getting to poverty due to the loss of the source of income (</w:t>
      </w:r>
      <w:r w:rsidRPr="00A405E3">
        <w:rPr>
          <w:rFonts w:eastAsia="Times New Roman" w:cs="Times New Roman"/>
          <w:color w:val="222222"/>
          <w:szCs w:val="24"/>
        </w:rPr>
        <w:t>Chatterji et al., 2015</w:t>
      </w:r>
      <w:r w:rsidRPr="00A405E3">
        <w:rPr>
          <w:rFonts w:eastAsia="Times New Roman" w:cs="Times New Roman"/>
          <w:color w:val="000000"/>
          <w:szCs w:val="24"/>
        </w:rPr>
        <w:t>, p. 565). Poverty can limit people from accessing quality health facilities and medication this makes them remain in the economic same position increasing the chances of their conditions worsening (</w:t>
      </w:r>
      <w:r w:rsidRPr="00A405E3">
        <w:rPr>
          <w:rFonts w:eastAsia="Times New Roman" w:cs="Times New Roman"/>
          <w:color w:val="222222"/>
          <w:szCs w:val="24"/>
        </w:rPr>
        <w:t>Emerson and Baines, 2011</w:t>
      </w:r>
      <w:r w:rsidRPr="00A405E3">
        <w:rPr>
          <w:rFonts w:eastAsia="Times New Roman" w:cs="Times New Roman"/>
          <w:color w:val="000000"/>
          <w:szCs w:val="24"/>
        </w:rPr>
        <w:t>, p. 45). It is perceived that the intensity of disability is highly related to the level of poverty. The more patients are disabled the more they are limited to gaining income hence much poverty level.</w:t>
      </w:r>
    </w:p>
    <w:p w:rsidR="00A405E3" w:rsidRPr="00A405E3" w:rsidRDefault="00A405E3" w:rsidP="00A405E3">
      <w:pPr>
        <w:spacing w:before="100" w:beforeAutospacing="1" w:after="100" w:afterAutospacing="1" w:line="240" w:lineRule="auto"/>
        <w:jc w:val="left"/>
        <w:rPr>
          <w:rFonts w:eastAsia="Times New Roman" w:cs="Times New Roman"/>
          <w:color w:val="000000"/>
          <w:szCs w:val="24"/>
        </w:rPr>
      </w:pPr>
      <w:r w:rsidRPr="00A405E3">
        <w:rPr>
          <w:rFonts w:eastAsia="Times New Roman" w:cs="Times New Roman"/>
          <w:color w:val="000000"/>
          <w:szCs w:val="24"/>
        </w:rPr>
        <w:t> </w:t>
      </w:r>
    </w:p>
    <w:p w:rsidR="00A405E3" w:rsidRPr="00A405E3" w:rsidRDefault="00A405E3" w:rsidP="00A405E3">
      <w:pPr>
        <w:spacing w:before="100" w:beforeAutospacing="1" w:after="100" w:afterAutospacing="1" w:line="240" w:lineRule="auto"/>
        <w:jc w:val="left"/>
        <w:rPr>
          <w:rFonts w:eastAsia="Times New Roman" w:cs="Times New Roman"/>
          <w:color w:val="000000"/>
          <w:szCs w:val="24"/>
        </w:rPr>
      </w:pPr>
      <w:r w:rsidRPr="00A405E3">
        <w:rPr>
          <w:rFonts w:eastAsia="Times New Roman" w:cs="Times New Roman"/>
          <w:color w:val="000000"/>
          <w:szCs w:val="24"/>
        </w:rPr>
        <w:t> </w:t>
      </w:r>
    </w:p>
    <w:p w:rsidR="00A405E3" w:rsidRPr="00A405E3" w:rsidRDefault="00A405E3" w:rsidP="00A405E3">
      <w:pPr>
        <w:spacing w:before="100" w:beforeAutospacing="1" w:after="100" w:afterAutospacing="1" w:line="240" w:lineRule="auto"/>
        <w:jc w:val="left"/>
        <w:rPr>
          <w:rFonts w:eastAsia="Times New Roman" w:cs="Times New Roman"/>
          <w:color w:val="000000"/>
          <w:szCs w:val="24"/>
        </w:rPr>
      </w:pPr>
      <w:r w:rsidRPr="00A405E3">
        <w:rPr>
          <w:rFonts w:eastAsia="Times New Roman" w:cs="Times New Roman"/>
          <w:color w:val="000000"/>
          <w:szCs w:val="24"/>
        </w:rPr>
        <w:t> </w:t>
      </w:r>
    </w:p>
    <w:p w:rsidR="00A405E3" w:rsidRPr="00A405E3" w:rsidRDefault="00A405E3" w:rsidP="00A405E3">
      <w:pPr>
        <w:spacing w:before="100" w:beforeAutospacing="1" w:after="100" w:afterAutospacing="1" w:line="240" w:lineRule="auto"/>
        <w:jc w:val="left"/>
        <w:rPr>
          <w:rFonts w:eastAsia="Times New Roman" w:cs="Times New Roman"/>
          <w:color w:val="000000"/>
          <w:szCs w:val="24"/>
        </w:rPr>
      </w:pPr>
      <w:r w:rsidRPr="00A405E3">
        <w:rPr>
          <w:rFonts w:eastAsia="Times New Roman" w:cs="Times New Roman"/>
          <w:color w:val="000000"/>
          <w:szCs w:val="24"/>
        </w:rPr>
        <w:t> </w:t>
      </w:r>
    </w:p>
    <w:p w:rsidR="00A405E3" w:rsidRPr="00A405E3" w:rsidRDefault="00A405E3" w:rsidP="00A405E3">
      <w:pPr>
        <w:spacing w:before="100" w:beforeAutospacing="1" w:after="100" w:afterAutospacing="1" w:line="240" w:lineRule="auto"/>
        <w:jc w:val="left"/>
        <w:rPr>
          <w:rFonts w:eastAsia="Times New Roman" w:cs="Times New Roman"/>
          <w:color w:val="000000"/>
          <w:szCs w:val="24"/>
        </w:rPr>
      </w:pPr>
      <w:r w:rsidRPr="00A405E3">
        <w:rPr>
          <w:rFonts w:eastAsia="Times New Roman" w:cs="Times New Roman"/>
          <w:color w:val="000000"/>
          <w:szCs w:val="24"/>
        </w:rPr>
        <w:t> </w:t>
      </w:r>
    </w:p>
    <w:p w:rsidR="00A405E3" w:rsidRPr="00A405E3" w:rsidRDefault="00A405E3" w:rsidP="00A405E3">
      <w:pPr>
        <w:spacing w:before="100" w:beforeAutospacing="1" w:after="100" w:afterAutospacing="1" w:line="240" w:lineRule="auto"/>
        <w:jc w:val="left"/>
        <w:rPr>
          <w:rFonts w:eastAsia="Times New Roman" w:cs="Times New Roman"/>
          <w:color w:val="000000"/>
          <w:szCs w:val="24"/>
        </w:rPr>
      </w:pPr>
      <w:r w:rsidRPr="00A405E3">
        <w:rPr>
          <w:rFonts w:eastAsia="Times New Roman" w:cs="Times New Roman"/>
          <w:color w:val="000000"/>
          <w:szCs w:val="24"/>
        </w:rPr>
        <w:t> </w:t>
      </w:r>
    </w:p>
    <w:p w:rsidR="00A405E3" w:rsidRPr="00A405E3" w:rsidRDefault="00A405E3" w:rsidP="00A405E3">
      <w:pPr>
        <w:spacing w:before="100" w:beforeAutospacing="1" w:after="100" w:afterAutospacing="1" w:line="240" w:lineRule="auto"/>
        <w:ind w:left="720" w:hanging="720"/>
        <w:jc w:val="left"/>
        <w:rPr>
          <w:rFonts w:eastAsia="Times New Roman" w:cs="Times New Roman"/>
          <w:color w:val="000000"/>
          <w:szCs w:val="24"/>
        </w:rPr>
      </w:pPr>
      <w:r w:rsidRPr="00A405E3">
        <w:rPr>
          <w:rFonts w:eastAsia="Times New Roman" w:cs="Times New Roman"/>
          <w:b/>
          <w:bCs/>
          <w:color w:val="000000"/>
          <w:szCs w:val="24"/>
        </w:rPr>
        <w:t> </w:t>
      </w:r>
    </w:p>
    <w:p w:rsidR="00A405E3" w:rsidRDefault="00A405E3" w:rsidP="00A405E3">
      <w:pPr>
        <w:spacing w:before="100" w:beforeAutospacing="1" w:after="100" w:afterAutospacing="1" w:line="240" w:lineRule="auto"/>
        <w:ind w:left="1440" w:firstLine="720"/>
        <w:jc w:val="left"/>
        <w:rPr>
          <w:rFonts w:eastAsia="Times New Roman" w:cs="Times New Roman"/>
          <w:b/>
          <w:bCs/>
          <w:color w:val="000000"/>
          <w:szCs w:val="24"/>
        </w:rPr>
      </w:pPr>
    </w:p>
    <w:p w:rsidR="00A405E3" w:rsidRDefault="00A405E3" w:rsidP="00A405E3">
      <w:pPr>
        <w:spacing w:before="100" w:beforeAutospacing="1" w:after="100" w:afterAutospacing="1" w:line="240" w:lineRule="auto"/>
        <w:ind w:left="1440" w:firstLine="720"/>
        <w:jc w:val="left"/>
        <w:rPr>
          <w:rFonts w:eastAsia="Times New Roman" w:cs="Times New Roman"/>
          <w:b/>
          <w:bCs/>
          <w:color w:val="000000"/>
          <w:szCs w:val="24"/>
        </w:rPr>
      </w:pPr>
    </w:p>
    <w:p w:rsidR="00A405E3" w:rsidRDefault="00A405E3" w:rsidP="00A405E3">
      <w:pPr>
        <w:spacing w:before="100" w:beforeAutospacing="1" w:after="100" w:afterAutospacing="1" w:line="240" w:lineRule="auto"/>
        <w:ind w:left="1440" w:firstLine="720"/>
        <w:jc w:val="left"/>
        <w:rPr>
          <w:rFonts w:eastAsia="Times New Roman" w:cs="Times New Roman"/>
          <w:b/>
          <w:bCs/>
          <w:color w:val="000000"/>
          <w:szCs w:val="24"/>
        </w:rPr>
      </w:pPr>
    </w:p>
    <w:p w:rsidR="00A405E3" w:rsidRDefault="00A405E3" w:rsidP="00A405E3">
      <w:pPr>
        <w:spacing w:before="100" w:beforeAutospacing="1" w:after="100" w:afterAutospacing="1" w:line="240" w:lineRule="auto"/>
        <w:ind w:left="1440" w:firstLine="720"/>
        <w:jc w:val="left"/>
        <w:rPr>
          <w:rFonts w:eastAsia="Times New Roman" w:cs="Times New Roman"/>
          <w:b/>
          <w:bCs/>
          <w:color w:val="000000"/>
          <w:szCs w:val="24"/>
        </w:rPr>
      </w:pPr>
    </w:p>
    <w:p w:rsidR="00A405E3" w:rsidRDefault="00A405E3" w:rsidP="00A405E3">
      <w:pPr>
        <w:spacing w:before="100" w:beforeAutospacing="1" w:after="100" w:afterAutospacing="1" w:line="240" w:lineRule="auto"/>
        <w:ind w:left="1440" w:firstLine="720"/>
        <w:jc w:val="left"/>
        <w:rPr>
          <w:rFonts w:eastAsia="Times New Roman" w:cs="Times New Roman"/>
          <w:b/>
          <w:bCs/>
          <w:color w:val="000000"/>
          <w:szCs w:val="24"/>
        </w:rPr>
      </w:pPr>
    </w:p>
    <w:p w:rsidR="00A405E3" w:rsidRDefault="00A405E3" w:rsidP="00A405E3">
      <w:pPr>
        <w:spacing w:before="100" w:beforeAutospacing="1" w:after="100" w:afterAutospacing="1" w:line="240" w:lineRule="auto"/>
        <w:ind w:left="1440" w:firstLine="720"/>
        <w:jc w:val="left"/>
        <w:rPr>
          <w:rFonts w:eastAsia="Times New Roman" w:cs="Times New Roman"/>
          <w:b/>
          <w:bCs/>
          <w:color w:val="000000"/>
          <w:szCs w:val="24"/>
        </w:rPr>
      </w:pPr>
    </w:p>
    <w:p w:rsidR="00A405E3" w:rsidRDefault="00A405E3" w:rsidP="00A405E3">
      <w:pPr>
        <w:spacing w:before="100" w:beforeAutospacing="1" w:after="100" w:afterAutospacing="1" w:line="240" w:lineRule="auto"/>
        <w:ind w:left="1440" w:firstLine="720"/>
        <w:jc w:val="left"/>
        <w:rPr>
          <w:rFonts w:eastAsia="Times New Roman" w:cs="Times New Roman"/>
          <w:b/>
          <w:bCs/>
          <w:color w:val="000000"/>
          <w:szCs w:val="24"/>
        </w:rPr>
      </w:pPr>
      <w:bookmarkStart w:id="0" w:name="_GoBack"/>
      <w:bookmarkEnd w:id="0"/>
    </w:p>
    <w:p w:rsidR="00A405E3" w:rsidRDefault="00A405E3" w:rsidP="00A405E3">
      <w:pPr>
        <w:spacing w:before="100" w:beforeAutospacing="1" w:after="100" w:afterAutospacing="1" w:line="240" w:lineRule="auto"/>
        <w:ind w:left="1440" w:firstLine="720"/>
        <w:jc w:val="left"/>
        <w:rPr>
          <w:rFonts w:eastAsia="Times New Roman" w:cs="Times New Roman"/>
          <w:b/>
          <w:bCs/>
          <w:color w:val="000000"/>
          <w:szCs w:val="24"/>
        </w:rPr>
      </w:pPr>
    </w:p>
    <w:p w:rsidR="00A405E3" w:rsidRPr="00164819" w:rsidRDefault="00164819" w:rsidP="00164819">
      <w:pPr>
        <w:spacing w:before="100" w:beforeAutospacing="1" w:after="100" w:afterAutospacing="1" w:line="240" w:lineRule="auto"/>
        <w:ind w:left="1440" w:firstLine="720"/>
        <w:jc w:val="left"/>
        <w:rPr>
          <w:rFonts w:eastAsia="Times New Roman" w:cs="Times New Roman"/>
          <w:color w:val="000000"/>
          <w:szCs w:val="24"/>
        </w:rPr>
      </w:pPr>
      <w:r w:rsidRPr="00A405E3">
        <w:rPr>
          <w:rFonts w:eastAsia="Times New Roman" w:cs="Times New Roman"/>
          <w:b/>
          <w:bCs/>
          <w:color w:val="000000"/>
          <w:szCs w:val="24"/>
        </w:rPr>
        <w:t>References</w:t>
      </w:r>
      <w:r w:rsidRPr="00A405E3">
        <w:rPr>
          <w:rFonts w:eastAsia="Times New Roman" w:cs="Times New Roman"/>
          <w:color w:val="222222"/>
          <w:szCs w:val="24"/>
        </w:rPr>
        <w:t> </w:t>
      </w:r>
    </w:p>
    <w:p w:rsidR="00164819" w:rsidRPr="00CB22DE" w:rsidRDefault="00164819" w:rsidP="00112890">
      <w:pPr>
        <w:spacing w:line="240" w:lineRule="auto"/>
        <w:ind w:left="720" w:hanging="720"/>
        <w:rPr>
          <w:rFonts w:ascii="Arial" w:hAnsi="Arial" w:cs="Arial"/>
        </w:rPr>
      </w:pPr>
      <w:r w:rsidRPr="00CB22DE">
        <w:rPr>
          <w:rStyle w:val="hlfld-contribauthor"/>
          <w:rFonts w:ascii="Arial" w:hAnsi="Arial" w:cs="Arial"/>
          <w:color w:val="333333"/>
        </w:rPr>
        <w:t>Brian Watermeyer</w:t>
      </w:r>
      <w:r w:rsidRPr="00CB22DE">
        <w:rPr>
          <w:rFonts w:ascii="Arial" w:hAnsi="Arial" w:cs="Arial"/>
        </w:rPr>
        <w:t>. 2018. Growing Up Disabled: Impairment, Familial Relationships and Identity. The Palgrave Handbook of Disabled Children’s Childhood Studies, pages 443-459.</w:t>
      </w:r>
    </w:p>
    <w:p w:rsidR="00164819" w:rsidRPr="00CB22DE" w:rsidRDefault="00164819" w:rsidP="00112890">
      <w:pPr>
        <w:spacing w:line="240" w:lineRule="auto"/>
        <w:ind w:left="720" w:hanging="720"/>
      </w:pPr>
      <w:r w:rsidRPr="00CB22DE">
        <w:rPr>
          <w:rStyle w:val="hlfld-contribauthor"/>
          <w:rFonts w:cs="Times New Roman"/>
          <w:color w:val="333333"/>
        </w:rPr>
        <w:t>Ioannis Thoidis</w:t>
      </w:r>
      <w:r w:rsidRPr="00CB22DE">
        <w:rPr>
          <w:rStyle w:val="separator"/>
          <w:rFonts w:cs="Times New Roman"/>
          <w:color w:val="333333"/>
        </w:rPr>
        <w:t>, </w:t>
      </w:r>
      <w:r w:rsidRPr="00CB22DE">
        <w:rPr>
          <w:rStyle w:val="hlfld-contribauthor"/>
          <w:rFonts w:cs="Times New Roman"/>
          <w:color w:val="333333"/>
        </w:rPr>
        <w:t>Dimitrios Pnevmatikos</w:t>
      </w:r>
      <w:r w:rsidRPr="00CB22DE">
        <w:t>. (2014) </w:t>
      </w:r>
      <w:hyperlink r:id="rId6" w:history="1">
        <w:r w:rsidRPr="00CB22DE">
          <w:rPr>
            <w:rStyle w:val="Hyperlink"/>
            <w:rFonts w:cs="Times New Roman"/>
            <w:color w:val="10147E"/>
          </w:rPr>
          <w:t>Non-formal education in free time: leisure- or work-orientated activity?</w:t>
        </w:r>
      </w:hyperlink>
      <w:r w:rsidRPr="00CB22DE">
        <w:t>. </w:t>
      </w:r>
      <w:r w:rsidRPr="00CB22DE">
        <w:rPr>
          <w:rStyle w:val="nlmsource"/>
          <w:rFonts w:cs="Times New Roman"/>
          <w:i/>
          <w:iCs/>
          <w:color w:val="333333"/>
        </w:rPr>
        <w:t>International Journal of Lifelong Education</w:t>
      </w:r>
      <w:r w:rsidRPr="00CB22DE">
        <w:t> 33:5, pages 657-673. </w:t>
      </w:r>
    </w:p>
    <w:p w:rsidR="00164819" w:rsidRPr="00CB22DE" w:rsidRDefault="00164819" w:rsidP="00112890">
      <w:pPr>
        <w:spacing w:line="240" w:lineRule="auto"/>
        <w:ind w:left="720" w:hanging="720"/>
      </w:pPr>
      <w:r w:rsidRPr="00CB22DE">
        <w:rPr>
          <w:rStyle w:val="hlfld-contribauthor"/>
          <w:rFonts w:cs="Times New Roman"/>
          <w:color w:val="333333"/>
        </w:rPr>
        <w:t>Issahaku Adam</w:t>
      </w:r>
      <w:r w:rsidRPr="00CB22DE">
        <w:t>. (2018) </w:t>
      </w:r>
      <w:hyperlink r:id="rId7" w:history="1">
        <w:r w:rsidRPr="00CB22DE">
          <w:rPr>
            <w:rStyle w:val="Hyperlink"/>
            <w:rFonts w:cs="Times New Roman"/>
            <w:color w:val="10147E"/>
          </w:rPr>
          <w:t>Leisure aspirations of people with visual impairment in the Kumasi Metropolis, Ghana</w:t>
        </w:r>
      </w:hyperlink>
      <w:r w:rsidRPr="00CB22DE">
        <w:t>. </w:t>
      </w:r>
      <w:r w:rsidRPr="00CB22DE">
        <w:rPr>
          <w:rStyle w:val="nlmsource"/>
          <w:rFonts w:cs="Times New Roman"/>
          <w:i/>
          <w:iCs/>
          <w:color w:val="333333"/>
        </w:rPr>
        <w:t>Annals of Leisure Research</w:t>
      </w:r>
      <w:r w:rsidRPr="00CB22DE">
        <w:t> 21:3, pages 347-363. </w:t>
      </w:r>
    </w:p>
    <w:p w:rsidR="00164819" w:rsidRPr="00CB22DE" w:rsidRDefault="00164819" w:rsidP="00112890">
      <w:pPr>
        <w:spacing w:line="240" w:lineRule="auto"/>
        <w:ind w:left="720" w:hanging="720"/>
      </w:pPr>
      <w:r w:rsidRPr="00CB22DE">
        <w:rPr>
          <w:rStyle w:val="hlfld-contribauthor"/>
          <w:rFonts w:ascii="Arial" w:hAnsi="Arial" w:cs="Arial"/>
          <w:color w:val="333333"/>
        </w:rPr>
        <w:t>Jennifer Jarman</w:t>
      </w:r>
      <w:r w:rsidRPr="00CB22DE">
        <w:rPr>
          <w:rFonts w:ascii="Arial" w:hAnsi="Arial" w:cs="Arial"/>
        </w:rPr>
        <w:t>. (2016) </w:t>
      </w:r>
      <w:hyperlink r:id="rId8" w:history="1">
        <w:r w:rsidRPr="00CB22DE">
          <w:rPr>
            <w:rStyle w:val="Hyperlink"/>
            <w:rFonts w:ascii="Arial" w:hAnsi="Arial" w:cs="Arial"/>
            <w:color w:val="10147E"/>
          </w:rPr>
          <w:t>Social inequality and its consequences in the twenty-first century</w:t>
        </w:r>
      </w:hyperlink>
      <w:r w:rsidRPr="00CB22DE">
        <w:rPr>
          <w:rFonts w:ascii="Arial" w:hAnsi="Arial" w:cs="Arial"/>
        </w:rPr>
        <w:t>. </w:t>
      </w:r>
      <w:r w:rsidRPr="00CB22DE">
        <w:rPr>
          <w:rStyle w:val="nlmsource"/>
          <w:rFonts w:ascii="Arial" w:hAnsi="Arial" w:cs="Arial"/>
          <w:i/>
          <w:iCs/>
          <w:color w:val="333333"/>
        </w:rPr>
        <w:t>Contemporary Social Science</w:t>
      </w:r>
      <w:r w:rsidRPr="00CB22DE">
        <w:rPr>
          <w:rFonts w:ascii="Arial" w:hAnsi="Arial" w:cs="Arial"/>
        </w:rPr>
        <w:t> 11:2-3, pages 103-112.</w:t>
      </w:r>
    </w:p>
    <w:p w:rsidR="00164819" w:rsidRPr="00CB22DE" w:rsidRDefault="00164819" w:rsidP="00112890">
      <w:pPr>
        <w:spacing w:line="240" w:lineRule="auto"/>
        <w:ind w:left="720" w:hanging="720"/>
      </w:pPr>
      <w:r w:rsidRPr="00CB22DE">
        <w:rPr>
          <w:rStyle w:val="hlfld-contribauthor"/>
          <w:rFonts w:cs="Times New Roman"/>
          <w:color w:val="333333"/>
        </w:rPr>
        <w:t>Jerome Singleton</w:t>
      </w:r>
      <w:r w:rsidRPr="00CB22DE">
        <w:rPr>
          <w:rStyle w:val="separator"/>
          <w:rFonts w:cs="Times New Roman"/>
          <w:color w:val="333333"/>
        </w:rPr>
        <w:t>, </w:t>
      </w:r>
      <w:r w:rsidRPr="00CB22DE">
        <w:rPr>
          <w:rStyle w:val="hlfld-contribauthor"/>
          <w:rFonts w:cs="Times New Roman"/>
          <w:color w:val="333333"/>
        </w:rPr>
        <w:t>Simon Darcy</w:t>
      </w:r>
      <w:r w:rsidRPr="00CB22DE">
        <w:t>. (2013) </w:t>
      </w:r>
      <w:hyperlink r:id="rId9" w:history="1">
        <w:r w:rsidRPr="00CB22DE">
          <w:rPr>
            <w:rStyle w:val="Hyperlink"/>
            <w:rFonts w:cs="Times New Roman"/>
            <w:color w:val="10147E"/>
          </w:rPr>
          <w:t>‘Cultural life’, disability, inclusion and citizenship: moving beyond leisure in isolation</w:t>
        </w:r>
      </w:hyperlink>
      <w:r w:rsidRPr="00CB22DE">
        <w:t>. </w:t>
      </w:r>
      <w:r w:rsidRPr="00CB22DE">
        <w:rPr>
          <w:rStyle w:val="nlmsource"/>
          <w:rFonts w:cs="Times New Roman"/>
          <w:i/>
          <w:iCs/>
          <w:color w:val="333333"/>
        </w:rPr>
        <w:t>Annals of Leisure Research</w:t>
      </w:r>
      <w:r w:rsidRPr="00CB22DE">
        <w:t> 16:3, pages 183-192. </w:t>
      </w:r>
    </w:p>
    <w:p w:rsidR="00164819" w:rsidRPr="00CB22DE" w:rsidRDefault="00164819" w:rsidP="00112890">
      <w:pPr>
        <w:spacing w:line="240" w:lineRule="auto"/>
        <w:ind w:left="720" w:hanging="720"/>
      </w:pPr>
      <w:r w:rsidRPr="00CB22DE">
        <w:rPr>
          <w:rStyle w:val="hlfld-contribauthor"/>
          <w:rFonts w:cs="Times New Roman"/>
          <w:color w:val="333333"/>
        </w:rPr>
        <w:t>Juan A. García</w:t>
      </w:r>
      <w:r w:rsidRPr="00CB22DE">
        <w:t>. (2017) </w:t>
      </w:r>
      <w:hyperlink r:id="rId10" w:history="1">
        <w:r w:rsidRPr="00CB22DE">
          <w:rPr>
            <w:rStyle w:val="Hyperlink"/>
            <w:rFonts w:cs="Times New Roman"/>
            <w:color w:val="10147E"/>
          </w:rPr>
          <w:t>Time use patterns of Spanish people at weekends: in search of what, who and when</w:t>
        </w:r>
      </w:hyperlink>
      <w:r w:rsidRPr="00CB22DE">
        <w:t>. </w:t>
      </w:r>
      <w:r w:rsidRPr="00CB22DE">
        <w:rPr>
          <w:rStyle w:val="nlmsource"/>
          <w:rFonts w:cs="Times New Roman"/>
          <w:i/>
          <w:iCs/>
          <w:color w:val="333333"/>
        </w:rPr>
        <w:t>Leisure Studies</w:t>
      </w:r>
      <w:r w:rsidRPr="00CB22DE">
        <w:t> 36:6, pages 793-810. </w:t>
      </w:r>
    </w:p>
    <w:p w:rsidR="00164819" w:rsidRPr="00CB22DE" w:rsidRDefault="00164819" w:rsidP="00112890">
      <w:pPr>
        <w:spacing w:line="240" w:lineRule="auto"/>
        <w:ind w:left="720" w:hanging="720"/>
      </w:pPr>
      <w:r w:rsidRPr="00CB22DE">
        <w:rPr>
          <w:rStyle w:val="hlfld-contribauthor"/>
          <w:rFonts w:cs="Times New Roman"/>
          <w:color w:val="333333"/>
        </w:rPr>
        <w:t>Karen Gallant</w:t>
      </w:r>
      <w:r w:rsidRPr="00CB22DE">
        <w:rPr>
          <w:rStyle w:val="separator"/>
          <w:rFonts w:cs="Times New Roman"/>
          <w:color w:val="333333"/>
        </w:rPr>
        <w:t>, </w:t>
      </w:r>
      <w:r w:rsidRPr="00CB22DE">
        <w:rPr>
          <w:rStyle w:val="hlfld-contribauthor"/>
          <w:rFonts w:cs="Times New Roman"/>
          <w:color w:val="333333"/>
        </w:rPr>
        <w:t>Susan Arai</w:t>
      </w:r>
      <w:r w:rsidRPr="00CB22DE">
        <w:rPr>
          <w:rStyle w:val="separator"/>
          <w:rFonts w:cs="Times New Roman"/>
          <w:color w:val="333333"/>
        </w:rPr>
        <w:t>, </w:t>
      </w:r>
      <w:r w:rsidRPr="00CB22DE">
        <w:rPr>
          <w:rStyle w:val="hlfld-contribauthor"/>
          <w:rFonts w:cs="Times New Roman"/>
          <w:color w:val="333333"/>
        </w:rPr>
        <w:t>Bryan Smale</w:t>
      </w:r>
      <w:r w:rsidRPr="00CB22DE">
        <w:t>. (2013) </w:t>
      </w:r>
      <w:hyperlink r:id="rId11" w:history="1">
        <w:r w:rsidRPr="00CB22DE">
          <w:rPr>
            <w:rStyle w:val="Hyperlink"/>
            <w:rFonts w:cs="Times New Roman"/>
            <w:color w:val="10147E"/>
          </w:rPr>
          <w:t>Serious Leisure as an Avenue for Nurturing Community</w:t>
        </w:r>
      </w:hyperlink>
      <w:r w:rsidRPr="00CB22DE">
        <w:t>. </w:t>
      </w:r>
      <w:r w:rsidRPr="00CB22DE">
        <w:rPr>
          <w:rStyle w:val="nlmsource"/>
          <w:rFonts w:cs="Times New Roman"/>
          <w:i/>
          <w:iCs/>
          <w:color w:val="333333"/>
        </w:rPr>
        <w:t>Leisure Sciences</w:t>
      </w:r>
      <w:r w:rsidRPr="00CB22DE">
        <w:t> 35:4, pages 320-336. </w:t>
      </w:r>
    </w:p>
    <w:p w:rsidR="00164819" w:rsidRPr="00CB22DE" w:rsidRDefault="00164819" w:rsidP="00112890">
      <w:pPr>
        <w:spacing w:line="240" w:lineRule="auto"/>
        <w:ind w:left="720" w:hanging="720"/>
        <w:rPr>
          <w:rFonts w:ascii="Arial" w:hAnsi="Arial" w:cs="Arial"/>
        </w:rPr>
      </w:pPr>
      <w:r w:rsidRPr="00CB22DE">
        <w:rPr>
          <w:rStyle w:val="hlfld-contribauthor"/>
          <w:rFonts w:ascii="Arial" w:hAnsi="Arial" w:cs="Arial"/>
          <w:color w:val="333333"/>
        </w:rPr>
        <w:t>Luis Salvador-Carulla</w:t>
      </w:r>
      <w:r w:rsidRPr="00CB22DE">
        <w:rPr>
          <w:rStyle w:val="separator"/>
          <w:rFonts w:ascii="Arial" w:hAnsi="Arial" w:cs="Arial"/>
          <w:color w:val="333333"/>
        </w:rPr>
        <w:t>, </w:t>
      </w:r>
      <w:r w:rsidRPr="00CB22DE">
        <w:rPr>
          <w:rStyle w:val="hlfld-contribauthor"/>
          <w:rFonts w:ascii="Arial" w:hAnsi="Arial" w:cs="Arial"/>
          <w:color w:val="333333"/>
        </w:rPr>
        <w:t>Steve Symonds</w:t>
      </w:r>
      <w:r w:rsidRPr="00CB22DE">
        <w:rPr>
          <w:rFonts w:ascii="Arial" w:hAnsi="Arial" w:cs="Arial"/>
        </w:rPr>
        <w:t>. (2016) Health services use and costs in people with intellectual disability. </w:t>
      </w:r>
      <w:r w:rsidRPr="00CB22DE">
        <w:rPr>
          <w:rStyle w:val="nlmsource"/>
          <w:rFonts w:ascii="Arial" w:hAnsi="Arial" w:cs="Arial"/>
          <w:i/>
          <w:iCs/>
          <w:color w:val="333333"/>
        </w:rPr>
        <w:t>Current Opinion in Psychiatry</w:t>
      </w:r>
      <w:r w:rsidRPr="00CB22DE">
        <w:rPr>
          <w:rFonts w:ascii="Arial" w:hAnsi="Arial" w:cs="Arial"/>
        </w:rPr>
        <w:t> 29:2, pages 89-94.</w:t>
      </w:r>
    </w:p>
    <w:p w:rsidR="00164819" w:rsidRPr="00CB22DE" w:rsidRDefault="00164819" w:rsidP="00112890">
      <w:pPr>
        <w:spacing w:line="240" w:lineRule="auto"/>
        <w:ind w:left="720" w:hanging="720"/>
      </w:pPr>
      <w:r w:rsidRPr="00CB22DE">
        <w:rPr>
          <w:rStyle w:val="hlfld-contribauthor"/>
          <w:rFonts w:ascii="Arial" w:hAnsi="Arial" w:cs="Arial"/>
          <w:color w:val="333333"/>
        </w:rPr>
        <w:t>Melina G.H.E. den Brok</w:t>
      </w:r>
      <w:r w:rsidRPr="00CB22DE">
        <w:rPr>
          <w:rStyle w:val="separator"/>
          <w:rFonts w:ascii="Arial" w:hAnsi="Arial" w:cs="Arial"/>
          <w:color w:val="333333"/>
        </w:rPr>
        <w:t>, </w:t>
      </w:r>
      <w:r w:rsidRPr="00CB22DE">
        <w:rPr>
          <w:rStyle w:val="hlfld-contribauthor"/>
          <w:rFonts w:ascii="Arial" w:hAnsi="Arial" w:cs="Arial"/>
          <w:color w:val="333333"/>
        </w:rPr>
        <w:t>Jan Willem van Dalen</w:t>
      </w:r>
      <w:r w:rsidRPr="00CB22DE">
        <w:rPr>
          <w:rStyle w:val="separator"/>
          <w:rFonts w:ascii="Arial" w:hAnsi="Arial" w:cs="Arial"/>
          <w:color w:val="333333"/>
        </w:rPr>
        <w:t>, </w:t>
      </w:r>
      <w:r w:rsidRPr="00CB22DE">
        <w:rPr>
          <w:rStyle w:val="hlfld-contribauthor"/>
          <w:rFonts w:ascii="Arial" w:hAnsi="Arial" w:cs="Arial"/>
          <w:color w:val="333333"/>
        </w:rPr>
        <w:t>Willem A. van Gool</w:t>
      </w:r>
      <w:r w:rsidRPr="00CB22DE">
        <w:rPr>
          <w:rStyle w:val="separator"/>
          <w:rFonts w:ascii="Arial" w:hAnsi="Arial" w:cs="Arial"/>
          <w:color w:val="333333"/>
        </w:rPr>
        <w:t>, </w:t>
      </w:r>
      <w:r w:rsidRPr="00CB22DE">
        <w:rPr>
          <w:rStyle w:val="hlfld-contribauthor"/>
          <w:rFonts w:ascii="Arial" w:hAnsi="Arial" w:cs="Arial"/>
          <w:color w:val="333333"/>
        </w:rPr>
        <w:t>Eric P. Moll van Charante</w:t>
      </w:r>
      <w:r w:rsidRPr="00CB22DE">
        <w:rPr>
          <w:rStyle w:val="separator"/>
          <w:rFonts w:ascii="Arial" w:hAnsi="Arial" w:cs="Arial"/>
          <w:color w:val="333333"/>
        </w:rPr>
        <w:t>, </w:t>
      </w:r>
      <w:r w:rsidRPr="00CB22DE">
        <w:rPr>
          <w:rStyle w:val="hlfld-contribauthor"/>
          <w:rFonts w:ascii="Arial" w:hAnsi="Arial" w:cs="Arial"/>
          <w:color w:val="333333"/>
        </w:rPr>
        <w:t>Rob M.A. de Bie</w:t>
      </w:r>
      <w:r w:rsidRPr="00CB22DE">
        <w:rPr>
          <w:rStyle w:val="separator"/>
          <w:rFonts w:ascii="Arial" w:hAnsi="Arial" w:cs="Arial"/>
          <w:color w:val="333333"/>
        </w:rPr>
        <w:t>, </w:t>
      </w:r>
      <w:r w:rsidRPr="00CB22DE">
        <w:rPr>
          <w:rStyle w:val="hlfld-contribauthor"/>
          <w:rFonts w:ascii="Arial" w:hAnsi="Arial" w:cs="Arial"/>
          <w:color w:val="333333"/>
        </w:rPr>
        <w:t>Edo Richard</w:t>
      </w:r>
      <w:r w:rsidRPr="00CB22DE">
        <w:rPr>
          <w:rFonts w:ascii="Arial" w:hAnsi="Arial" w:cs="Arial"/>
        </w:rPr>
        <w:t>. (2015) Apathy in Parkinson's disease: A systematic review and meta-analysis. </w:t>
      </w:r>
      <w:r w:rsidRPr="00CB22DE">
        <w:rPr>
          <w:rStyle w:val="nlmsource"/>
          <w:rFonts w:ascii="Arial" w:hAnsi="Arial" w:cs="Arial"/>
          <w:i/>
          <w:iCs/>
          <w:color w:val="333333"/>
        </w:rPr>
        <w:t>Movement Disorders</w:t>
      </w:r>
      <w:r w:rsidRPr="00CB22DE">
        <w:rPr>
          <w:rFonts w:ascii="Arial" w:hAnsi="Arial" w:cs="Arial"/>
        </w:rPr>
        <w:t> 30:6, pages 759-769. </w:t>
      </w:r>
    </w:p>
    <w:p w:rsidR="00164819" w:rsidRPr="00CB22DE" w:rsidRDefault="00164819" w:rsidP="00112890">
      <w:pPr>
        <w:spacing w:line="240" w:lineRule="auto"/>
        <w:ind w:left="720" w:hanging="720"/>
        <w:rPr>
          <w:rFonts w:ascii="Arial" w:hAnsi="Arial" w:cs="Arial"/>
        </w:rPr>
      </w:pPr>
      <w:r w:rsidRPr="00CB22DE">
        <w:rPr>
          <w:rStyle w:val="hlfld-contribauthor"/>
          <w:rFonts w:ascii="Arial" w:hAnsi="Arial" w:cs="Arial"/>
          <w:color w:val="333333"/>
        </w:rPr>
        <w:t>Natalia Lapshina</w:t>
      </w:r>
      <w:r w:rsidRPr="00CB22DE">
        <w:rPr>
          <w:rStyle w:val="separator"/>
          <w:rFonts w:ascii="Arial" w:hAnsi="Arial" w:cs="Arial"/>
          <w:color w:val="333333"/>
        </w:rPr>
        <w:t>, </w:t>
      </w:r>
      <w:r w:rsidRPr="00CB22DE">
        <w:rPr>
          <w:rStyle w:val="hlfld-contribauthor"/>
          <w:rFonts w:ascii="Arial" w:hAnsi="Arial" w:cs="Arial"/>
          <w:color w:val="333333"/>
        </w:rPr>
        <w:t>Shannon L. Stewart</w:t>
      </w:r>
      <w:r w:rsidRPr="00CB22DE">
        <w:rPr>
          <w:rFonts w:ascii="Arial" w:hAnsi="Arial" w:cs="Arial"/>
        </w:rPr>
        <w:t>. (2018) </w:t>
      </w:r>
      <w:hyperlink r:id="rId12" w:history="1">
        <w:r w:rsidRPr="00CB22DE">
          <w:rPr>
            <w:rStyle w:val="Hyperlink"/>
            <w:rFonts w:ascii="Arial" w:hAnsi="Arial" w:cs="Arial"/>
            <w:color w:val="10147E"/>
          </w:rPr>
          <w:t>Examining service complexity in children with intellectual disability and mental health problems who receive inpatient or outpatient services</w:t>
        </w:r>
      </w:hyperlink>
      <w:r w:rsidRPr="00CB22DE">
        <w:rPr>
          <w:rFonts w:ascii="Arial" w:hAnsi="Arial" w:cs="Arial"/>
        </w:rPr>
        <w:t>. </w:t>
      </w:r>
      <w:r w:rsidRPr="00CB22DE">
        <w:rPr>
          <w:rStyle w:val="nlmsource"/>
          <w:rFonts w:ascii="Arial" w:hAnsi="Arial" w:cs="Arial"/>
          <w:i/>
          <w:iCs/>
          <w:color w:val="333333"/>
        </w:rPr>
        <w:t>Journal of Intellectual and Developmental Disability</w:t>
      </w:r>
      <w:r w:rsidRPr="00CB22DE">
        <w:rPr>
          <w:rFonts w:ascii="Arial" w:hAnsi="Arial" w:cs="Arial"/>
        </w:rPr>
        <w:t> 0:0, pages 1-10.</w:t>
      </w:r>
    </w:p>
    <w:p w:rsidR="00164819" w:rsidRPr="00CB22DE" w:rsidRDefault="00164819" w:rsidP="00112890">
      <w:pPr>
        <w:spacing w:line="240" w:lineRule="auto"/>
        <w:ind w:left="720" w:hanging="720"/>
      </w:pPr>
      <w:r w:rsidRPr="00CB22DE">
        <w:rPr>
          <w:rStyle w:val="hlfld-contribauthor"/>
          <w:rFonts w:cs="Times New Roman"/>
          <w:color w:val="333333"/>
        </w:rPr>
        <w:t>P.J. Kitchin</w:t>
      </w:r>
      <w:r w:rsidRPr="00CB22DE">
        <w:rPr>
          <w:rStyle w:val="separator"/>
          <w:rFonts w:cs="Times New Roman"/>
          <w:color w:val="333333"/>
        </w:rPr>
        <w:t>, </w:t>
      </w:r>
      <w:r w:rsidRPr="00CB22DE">
        <w:rPr>
          <w:rStyle w:val="hlfld-contribauthor"/>
          <w:rFonts w:cs="Times New Roman"/>
          <w:color w:val="333333"/>
        </w:rPr>
        <w:t>P. David Howe</w:t>
      </w:r>
      <w:r w:rsidRPr="00CB22DE">
        <w:t>. (2014) The mainstreaming of disability cricket in England and Wales: Integration ‘One Game’ at a time. </w:t>
      </w:r>
      <w:r w:rsidRPr="00CB22DE">
        <w:rPr>
          <w:rStyle w:val="nlmsource"/>
          <w:rFonts w:cs="Times New Roman"/>
          <w:i/>
          <w:iCs/>
          <w:color w:val="333333"/>
        </w:rPr>
        <w:t>Sport Management Review</w:t>
      </w:r>
      <w:r w:rsidRPr="00CB22DE">
        <w:t> 17:1, pages 65-77. </w:t>
      </w:r>
    </w:p>
    <w:p w:rsidR="00164819" w:rsidRPr="00CB22DE" w:rsidRDefault="00164819" w:rsidP="00112890">
      <w:pPr>
        <w:spacing w:line="240" w:lineRule="auto"/>
        <w:ind w:left="720" w:hanging="720"/>
      </w:pPr>
      <w:r w:rsidRPr="00CB22DE">
        <w:rPr>
          <w:rStyle w:val="hlfld-contribauthor"/>
          <w:rFonts w:cs="Times New Roman"/>
          <w:color w:val="333333"/>
        </w:rPr>
        <w:t>Pia Lundquist Wanneberg</w:t>
      </w:r>
      <w:r w:rsidRPr="00CB22DE">
        <w:t>. (2014) </w:t>
      </w:r>
      <w:hyperlink r:id="rId13" w:history="1">
        <w:r w:rsidRPr="00CB22DE">
          <w:rPr>
            <w:rStyle w:val="Hyperlink"/>
            <w:rFonts w:cs="Times New Roman"/>
            <w:color w:val="10147E"/>
          </w:rPr>
          <w:t>Disability, Riding, and Identity: A Qualitative Study on the Influence of Riding on the Identity Construction of People with Disabilities</w:t>
        </w:r>
      </w:hyperlink>
      <w:r w:rsidRPr="00CB22DE">
        <w:t>. </w:t>
      </w:r>
      <w:r w:rsidRPr="00CB22DE">
        <w:rPr>
          <w:rStyle w:val="nlmsource"/>
          <w:rFonts w:cs="Times New Roman"/>
          <w:i/>
          <w:iCs/>
          <w:color w:val="333333"/>
        </w:rPr>
        <w:t>International Journal of Disability, Development and Education</w:t>
      </w:r>
      <w:r w:rsidRPr="00CB22DE">
        <w:t> 61:1, pages 67-79.</w:t>
      </w:r>
    </w:p>
    <w:p w:rsidR="00164819" w:rsidRPr="00A405E3" w:rsidRDefault="00164819" w:rsidP="00A405E3">
      <w:pPr>
        <w:spacing w:before="100" w:beforeAutospacing="1" w:after="100" w:afterAutospacing="1" w:line="240" w:lineRule="auto"/>
        <w:ind w:left="720" w:hanging="720"/>
        <w:jc w:val="left"/>
        <w:rPr>
          <w:rFonts w:eastAsia="Times New Roman" w:cs="Times New Roman"/>
          <w:color w:val="000000"/>
          <w:szCs w:val="24"/>
        </w:rPr>
      </w:pPr>
      <w:r w:rsidRPr="00A405E3">
        <w:rPr>
          <w:rFonts w:eastAsia="Times New Roman" w:cs="Times New Roman"/>
          <w:color w:val="000000"/>
          <w:szCs w:val="24"/>
        </w:rPr>
        <w:t> </w:t>
      </w:r>
      <w:r>
        <w:rPr>
          <w:rStyle w:val="hlfld-contribauthor"/>
          <w:rFonts w:ascii="Arial" w:hAnsi="Arial" w:cs="Arial"/>
          <w:color w:val="333333"/>
        </w:rPr>
        <w:t>Rachael Theed</w:t>
      </w:r>
      <w:r>
        <w:rPr>
          <w:rStyle w:val="separator"/>
          <w:rFonts w:ascii="Arial" w:hAnsi="Arial" w:cs="Arial"/>
          <w:color w:val="333333"/>
        </w:rPr>
        <w:t>, </w:t>
      </w:r>
      <w:r>
        <w:rPr>
          <w:rStyle w:val="hlfld-contribauthor"/>
          <w:rFonts w:ascii="Arial" w:hAnsi="Arial" w:cs="Arial"/>
          <w:color w:val="333333"/>
        </w:rPr>
        <w:t>Fiona Eccles</w:t>
      </w:r>
      <w:r>
        <w:rPr>
          <w:rStyle w:val="separator"/>
          <w:rFonts w:ascii="Arial" w:hAnsi="Arial" w:cs="Arial"/>
          <w:color w:val="333333"/>
        </w:rPr>
        <w:t>, </w:t>
      </w:r>
      <w:r>
        <w:rPr>
          <w:rStyle w:val="hlfld-contribauthor"/>
          <w:rFonts w:ascii="Arial" w:hAnsi="Arial" w:cs="Arial"/>
          <w:color w:val="333333"/>
        </w:rPr>
        <w:t>Jane Simpson</w:t>
      </w:r>
      <w:r>
        <w:rPr>
          <w:rFonts w:ascii="Arial" w:hAnsi="Arial" w:cs="Arial"/>
          <w:color w:val="333333"/>
        </w:rPr>
        <w:t>. (2017) </w:t>
      </w:r>
      <w:hyperlink r:id="rId14" w:history="1">
        <w:r>
          <w:rPr>
            <w:rStyle w:val="Hyperlink"/>
            <w:rFonts w:ascii="Arial" w:hAnsi="Arial" w:cs="Arial"/>
            <w:color w:val="10147E"/>
          </w:rPr>
          <w:t>Experiences of caring for a family member with Parkinson's disease: a meta-synthesis</w:t>
        </w:r>
      </w:hyperlink>
      <w:r>
        <w:rPr>
          <w:rFonts w:ascii="Arial" w:hAnsi="Arial" w:cs="Arial"/>
          <w:color w:val="333333"/>
        </w:rPr>
        <w:t>. </w:t>
      </w:r>
      <w:r>
        <w:rPr>
          <w:rStyle w:val="nlmsource"/>
          <w:rFonts w:ascii="Arial" w:hAnsi="Arial" w:cs="Arial"/>
          <w:i/>
          <w:iCs/>
          <w:color w:val="333333"/>
        </w:rPr>
        <w:t>Aging &amp; Mental Health</w:t>
      </w:r>
      <w:r>
        <w:rPr>
          <w:rFonts w:ascii="Arial" w:hAnsi="Arial" w:cs="Arial"/>
          <w:color w:val="333333"/>
        </w:rPr>
        <w:t> 21:10, pages 1007-1016. </w:t>
      </w:r>
    </w:p>
    <w:p w:rsidR="00164819" w:rsidRPr="00CB22DE" w:rsidRDefault="00164819" w:rsidP="00112890">
      <w:pPr>
        <w:spacing w:line="240" w:lineRule="auto"/>
        <w:ind w:left="720" w:hanging="720"/>
        <w:rPr>
          <w:rFonts w:ascii="Arial" w:hAnsi="Arial" w:cs="Arial"/>
        </w:rPr>
      </w:pPr>
      <w:r w:rsidRPr="00CB22DE">
        <w:rPr>
          <w:rStyle w:val="hlfld-contribauthor"/>
          <w:rFonts w:ascii="Arial" w:hAnsi="Arial" w:cs="Arial"/>
          <w:color w:val="333333"/>
        </w:rPr>
        <w:t>Reinhard Haudenhuyse</w:t>
      </w:r>
      <w:r w:rsidRPr="00CB22DE">
        <w:rPr>
          <w:rFonts w:ascii="Arial" w:hAnsi="Arial" w:cs="Arial"/>
        </w:rPr>
        <w:t>. (2018) </w:t>
      </w:r>
      <w:hyperlink r:id="rId15" w:history="1">
        <w:r w:rsidRPr="00CB22DE">
          <w:rPr>
            <w:rStyle w:val="Hyperlink"/>
            <w:rFonts w:ascii="Arial" w:hAnsi="Arial" w:cs="Arial"/>
            <w:color w:val="10147E"/>
          </w:rPr>
          <w:t>The impact of austerity on poverty and sport participation: mind the knowledge gap</w:t>
        </w:r>
      </w:hyperlink>
      <w:r w:rsidRPr="00CB22DE">
        <w:rPr>
          <w:rFonts w:ascii="Arial" w:hAnsi="Arial" w:cs="Arial"/>
        </w:rPr>
        <w:t>. </w:t>
      </w:r>
      <w:r w:rsidRPr="00CB22DE">
        <w:rPr>
          <w:rStyle w:val="nlmsource"/>
          <w:rFonts w:ascii="Arial" w:hAnsi="Arial" w:cs="Arial"/>
          <w:i/>
          <w:iCs/>
          <w:color w:val="333333"/>
        </w:rPr>
        <w:t>International Journal of Sport Policy and Politics</w:t>
      </w:r>
      <w:r w:rsidRPr="00CB22DE">
        <w:rPr>
          <w:rFonts w:ascii="Arial" w:hAnsi="Arial" w:cs="Arial"/>
        </w:rPr>
        <w:t> 10:1, pages 203-213.</w:t>
      </w:r>
    </w:p>
    <w:p w:rsidR="00164819" w:rsidRPr="00CB22DE" w:rsidRDefault="00164819" w:rsidP="00112890">
      <w:pPr>
        <w:spacing w:line="240" w:lineRule="auto"/>
        <w:ind w:left="720" w:hanging="720"/>
      </w:pPr>
      <w:r w:rsidRPr="00CB22DE">
        <w:rPr>
          <w:rStyle w:val="hlfld-contribauthor"/>
          <w:rFonts w:cs="Times New Roman"/>
          <w:color w:val="333333"/>
        </w:rPr>
        <w:t>Robert A. Stebbins</w:t>
      </w:r>
      <w:r w:rsidRPr="00CB22DE">
        <w:t>. (2017) </w:t>
      </w:r>
      <w:hyperlink r:id="rId16" w:history="1">
        <w:r w:rsidRPr="00CB22DE">
          <w:rPr>
            <w:rStyle w:val="Hyperlink"/>
            <w:rFonts w:cs="Times New Roman"/>
            <w:color w:val="10147E"/>
          </w:rPr>
          <w:t>Self-directed learning as a basis for complex leisure</w:t>
        </w:r>
      </w:hyperlink>
      <w:r w:rsidRPr="00CB22DE">
        <w:t>. </w:t>
      </w:r>
      <w:r w:rsidRPr="00CB22DE">
        <w:rPr>
          <w:rStyle w:val="nlmsource"/>
          <w:rFonts w:cs="Times New Roman"/>
          <w:i/>
          <w:iCs/>
          <w:color w:val="333333"/>
        </w:rPr>
        <w:t>Loisir et Société / Society and Leisure</w:t>
      </w:r>
      <w:r w:rsidRPr="00CB22DE">
        <w:t> 40:3, pages 377-387. </w:t>
      </w:r>
    </w:p>
    <w:p w:rsidR="00164819" w:rsidRPr="00CB22DE" w:rsidRDefault="00164819" w:rsidP="00112890">
      <w:pPr>
        <w:spacing w:line="240" w:lineRule="auto"/>
        <w:ind w:left="720" w:hanging="720"/>
      </w:pPr>
      <w:r w:rsidRPr="00CB22DE">
        <w:rPr>
          <w:rStyle w:val="hlfld-contribauthor"/>
          <w:rFonts w:cs="Times New Roman"/>
          <w:color w:val="333333"/>
        </w:rPr>
        <w:t>Tali Hayosh</w:t>
      </w:r>
      <w:r w:rsidRPr="00CB22DE">
        <w:t>. (2017) </w:t>
      </w:r>
      <w:hyperlink r:id="rId17" w:history="1">
        <w:r w:rsidRPr="00CB22DE">
          <w:rPr>
            <w:rStyle w:val="Hyperlink"/>
            <w:rFonts w:cs="Times New Roman"/>
            <w:color w:val="10147E"/>
          </w:rPr>
          <w:t>Engagement is serious leisure as practice for coping with the stress of daily life</w:t>
        </w:r>
      </w:hyperlink>
      <w:r w:rsidRPr="00CB22DE">
        <w:t>. </w:t>
      </w:r>
      <w:r w:rsidRPr="00CB22DE">
        <w:rPr>
          <w:rStyle w:val="nlmsource"/>
          <w:rFonts w:cs="Times New Roman"/>
          <w:i/>
          <w:iCs/>
          <w:color w:val="333333"/>
        </w:rPr>
        <w:t>World Leisure Journal</w:t>
      </w:r>
      <w:r w:rsidRPr="00CB22DE">
        <w:t> 59:3, pages 206-217. </w:t>
      </w:r>
    </w:p>
    <w:p w:rsidR="00A405E3" w:rsidRPr="00A405E3" w:rsidRDefault="00A405E3" w:rsidP="00A405E3">
      <w:pPr>
        <w:spacing w:before="100" w:beforeAutospacing="1" w:after="100" w:afterAutospacing="1" w:line="240" w:lineRule="auto"/>
        <w:ind w:left="720" w:hanging="720"/>
        <w:jc w:val="left"/>
        <w:rPr>
          <w:rFonts w:eastAsia="Times New Roman" w:cs="Times New Roman"/>
          <w:color w:val="000000"/>
          <w:szCs w:val="24"/>
        </w:rPr>
      </w:pPr>
      <w:r w:rsidRPr="00A405E3">
        <w:rPr>
          <w:rFonts w:eastAsia="Times New Roman" w:cs="Times New Roman"/>
          <w:color w:val="000000"/>
          <w:szCs w:val="24"/>
        </w:rPr>
        <w:t> </w:t>
      </w:r>
    </w:p>
    <w:p w:rsidR="00A405E3" w:rsidRPr="00A405E3" w:rsidRDefault="00A405E3" w:rsidP="00A405E3">
      <w:pPr>
        <w:spacing w:before="100" w:beforeAutospacing="1" w:after="100" w:afterAutospacing="1" w:line="240" w:lineRule="auto"/>
        <w:ind w:left="720" w:hanging="720"/>
        <w:jc w:val="left"/>
        <w:rPr>
          <w:rFonts w:eastAsia="Times New Roman" w:cs="Times New Roman"/>
          <w:color w:val="000000"/>
          <w:szCs w:val="24"/>
        </w:rPr>
      </w:pPr>
      <w:r w:rsidRPr="00A405E3">
        <w:rPr>
          <w:rFonts w:eastAsia="Times New Roman" w:cs="Times New Roman"/>
          <w:color w:val="000000"/>
          <w:szCs w:val="24"/>
        </w:rPr>
        <w:t> </w:t>
      </w:r>
    </w:p>
    <w:p w:rsidR="00A405E3" w:rsidRPr="00A405E3" w:rsidRDefault="00A405E3" w:rsidP="00A405E3">
      <w:pPr>
        <w:spacing w:before="100" w:beforeAutospacing="1" w:after="100" w:afterAutospacing="1" w:line="240" w:lineRule="auto"/>
        <w:ind w:left="720" w:hanging="720"/>
        <w:jc w:val="left"/>
        <w:rPr>
          <w:rFonts w:eastAsia="Times New Roman" w:cs="Times New Roman"/>
          <w:color w:val="000000"/>
          <w:szCs w:val="24"/>
        </w:rPr>
      </w:pPr>
      <w:r w:rsidRPr="00A405E3">
        <w:rPr>
          <w:rFonts w:eastAsia="Times New Roman" w:cs="Times New Roman"/>
          <w:color w:val="000000"/>
          <w:szCs w:val="24"/>
        </w:rPr>
        <w:t> </w:t>
      </w:r>
    </w:p>
    <w:p w:rsidR="00A405E3" w:rsidRPr="00A405E3" w:rsidRDefault="00A405E3" w:rsidP="00A405E3">
      <w:pPr>
        <w:spacing w:before="100" w:beforeAutospacing="1" w:after="100" w:afterAutospacing="1" w:line="240" w:lineRule="auto"/>
        <w:jc w:val="left"/>
        <w:rPr>
          <w:rFonts w:eastAsia="Times New Roman" w:cs="Times New Roman"/>
          <w:color w:val="000000"/>
          <w:szCs w:val="24"/>
        </w:rPr>
      </w:pPr>
      <w:r w:rsidRPr="00A405E3">
        <w:rPr>
          <w:rFonts w:eastAsia="Times New Roman" w:cs="Times New Roman"/>
          <w:color w:val="000000"/>
          <w:szCs w:val="24"/>
        </w:rPr>
        <w:t> </w:t>
      </w:r>
    </w:p>
    <w:p w:rsidR="00DE68CD" w:rsidRPr="00A405E3" w:rsidRDefault="00DE68CD" w:rsidP="00A405E3">
      <w:pPr>
        <w:spacing w:line="240" w:lineRule="auto"/>
        <w:rPr>
          <w:rFonts w:cs="Times New Roman"/>
          <w:szCs w:val="24"/>
        </w:rPr>
      </w:pPr>
    </w:p>
    <w:sectPr w:rsidR="00DE68CD" w:rsidRPr="00A405E3">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AB2" w:rsidRDefault="00730AB2" w:rsidP="00BE2018">
      <w:pPr>
        <w:spacing w:line="240" w:lineRule="auto"/>
      </w:pPr>
      <w:r>
        <w:separator/>
      </w:r>
    </w:p>
  </w:endnote>
  <w:endnote w:type="continuationSeparator" w:id="0">
    <w:p w:rsidR="00730AB2" w:rsidRDefault="00730AB2" w:rsidP="00BE2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AB2" w:rsidRDefault="00730AB2" w:rsidP="00BE2018">
      <w:pPr>
        <w:spacing w:line="240" w:lineRule="auto"/>
      </w:pPr>
      <w:r>
        <w:separator/>
      </w:r>
    </w:p>
  </w:footnote>
  <w:footnote w:type="continuationSeparator" w:id="0">
    <w:p w:rsidR="00730AB2" w:rsidRDefault="00730AB2" w:rsidP="00BE20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99988"/>
      <w:docPartObj>
        <w:docPartGallery w:val="Page Numbers (Top of Page)"/>
        <w:docPartUnique/>
      </w:docPartObj>
    </w:sdtPr>
    <w:sdtEndPr>
      <w:rPr>
        <w:noProof/>
      </w:rPr>
    </w:sdtEndPr>
    <w:sdtContent>
      <w:p w:rsidR="00BE2018" w:rsidRDefault="00BE2018">
        <w:pPr>
          <w:pStyle w:val="Header"/>
          <w:jc w:val="right"/>
        </w:pPr>
        <w:r>
          <w:t xml:space="preserve">Health and disability critique     </w:t>
        </w:r>
        <w:r>
          <w:fldChar w:fldCharType="begin"/>
        </w:r>
        <w:r>
          <w:instrText xml:space="preserve"> PAGE   \* MERGEFORMAT </w:instrText>
        </w:r>
        <w:r>
          <w:fldChar w:fldCharType="separate"/>
        </w:r>
        <w:r w:rsidR="00A405E3">
          <w:rPr>
            <w:noProof/>
          </w:rPr>
          <w:t>5</w:t>
        </w:r>
        <w:r>
          <w:rPr>
            <w:noProof/>
          </w:rPr>
          <w:fldChar w:fldCharType="end"/>
        </w:r>
      </w:p>
    </w:sdtContent>
  </w:sdt>
  <w:p w:rsidR="00BE2018" w:rsidRDefault="00BE20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18"/>
    <w:rsid w:val="00112890"/>
    <w:rsid w:val="00164819"/>
    <w:rsid w:val="00237CE7"/>
    <w:rsid w:val="00292599"/>
    <w:rsid w:val="003F1909"/>
    <w:rsid w:val="004F3C2F"/>
    <w:rsid w:val="005452F3"/>
    <w:rsid w:val="00587AFC"/>
    <w:rsid w:val="00730AB2"/>
    <w:rsid w:val="007927D2"/>
    <w:rsid w:val="009A6E63"/>
    <w:rsid w:val="009B1B1C"/>
    <w:rsid w:val="00A405E3"/>
    <w:rsid w:val="00A6240D"/>
    <w:rsid w:val="00B0519C"/>
    <w:rsid w:val="00B528F9"/>
    <w:rsid w:val="00BE2018"/>
    <w:rsid w:val="00DE68CD"/>
    <w:rsid w:val="00DF797E"/>
    <w:rsid w:val="00F6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2FA5A-1DFB-445E-9DE7-E409D082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0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018"/>
    <w:pPr>
      <w:tabs>
        <w:tab w:val="center" w:pos="4680"/>
        <w:tab w:val="right" w:pos="9360"/>
      </w:tabs>
      <w:spacing w:line="240" w:lineRule="auto"/>
    </w:pPr>
  </w:style>
  <w:style w:type="character" w:customStyle="1" w:styleId="HeaderChar">
    <w:name w:val="Header Char"/>
    <w:basedOn w:val="DefaultParagraphFont"/>
    <w:link w:val="Header"/>
    <w:uiPriority w:val="99"/>
    <w:rsid w:val="00BE2018"/>
    <w:rPr>
      <w:rFonts w:ascii="Times New Roman" w:hAnsi="Times New Roman"/>
      <w:sz w:val="24"/>
    </w:rPr>
  </w:style>
  <w:style w:type="paragraph" w:styleId="Footer">
    <w:name w:val="footer"/>
    <w:basedOn w:val="Normal"/>
    <w:link w:val="FooterChar"/>
    <w:uiPriority w:val="99"/>
    <w:unhideWhenUsed/>
    <w:rsid w:val="00BE2018"/>
    <w:pPr>
      <w:tabs>
        <w:tab w:val="center" w:pos="4680"/>
        <w:tab w:val="right" w:pos="9360"/>
      </w:tabs>
      <w:spacing w:line="240" w:lineRule="auto"/>
    </w:pPr>
  </w:style>
  <w:style w:type="character" w:customStyle="1" w:styleId="FooterChar">
    <w:name w:val="Footer Char"/>
    <w:basedOn w:val="DefaultParagraphFont"/>
    <w:link w:val="Footer"/>
    <w:uiPriority w:val="99"/>
    <w:rsid w:val="00BE2018"/>
    <w:rPr>
      <w:rFonts w:ascii="Times New Roman" w:hAnsi="Times New Roman"/>
      <w:sz w:val="24"/>
    </w:rPr>
  </w:style>
  <w:style w:type="character" w:customStyle="1" w:styleId="hlfld-contribauthor">
    <w:name w:val="hlfld-contribauthor"/>
    <w:basedOn w:val="DefaultParagraphFont"/>
    <w:rsid w:val="00112890"/>
  </w:style>
  <w:style w:type="character" w:styleId="Hyperlink">
    <w:name w:val="Hyperlink"/>
    <w:basedOn w:val="DefaultParagraphFont"/>
    <w:uiPriority w:val="99"/>
    <w:semiHidden/>
    <w:unhideWhenUsed/>
    <w:rsid w:val="00112890"/>
    <w:rPr>
      <w:color w:val="0000FF"/>
      <w:u w:val="single"/>
    </w:rPr>
  </w:style>
  <w:style w:type="character" w:customStyle="1" w:styleId="nlmsource">
    <w:name w:val="nlm_source"/>
    <w:basedOn w:val="DefaultParagraphFont"/>
    <w:rsid w:val="00112890"/>
  </w:style>
  <w:style w:type="character" w:customStyle="1" w:styleId="separator">
    <w:name w:val="separator"/>
    <w:basedOn w:val="DefaultParagraphFont"/>
    <w:rsid w:val="00112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57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abs/10.1080/21582041.2016.1254277" TargetMode="External"/><Relationship Id="rId13" Type="http://schemas.openxmlformats.org/officeDocument/2006/relationships/hyperlink" Target="https://www.tandfonline.com/doi/abs/10.1080/1034912X.2014.878543"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andfonline.com/doi/abs/10.1080/11745398.2017.1387798" TargetMode="External"/><Relationship Id="rId12" Type="http://schemas.openxmlformats.org/officeDocument/2006/relationships/hyperlink" Target="https://www.tandfonline.com/doi/abs/10.3109/13668250.2018.1440878" TargetMode="External"/><Relationship Id="rId17" Type="http://schemas.openxmlformats.org/officeDocument/2006/relationships/hyperlink" Target="https://www.tandfonline.com/doi/abs/10.1080/16078055.2017.1345485" TargetMode="External"/><Relationship Id="rId2" Type="http://schemas.openxmlformats.org/officeDocument/2006/relationships/settings" Target="settings.xml"/><Relationship Id="rId16" Type="http://schemas.openxmlformats.org/officeDocument/2006/relationships/hyperlink" Target="https://www.tandfonline.com/doi/abs/10.1080/07053436.2017.137850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andfonline.com/doi/abs/10.1080/02601370.2014.918197" TargetMode="External"/><Relationship Id="rId11" Type="http://schemas.openxmlformats.org/officeDocument/2006/relationships/hyperlink" Target="https://www.tandfonline.com/doi/abs/10.1080/01490400.2013.797324" TargetMode="External"/><Relationship Id="rId5" Type="http://schemas.openxmlformats.org/officeDocument/2006/relationships/endnotes" Target="endnotes.xml"/><Relationship Id="rId15" Type="http://schemas.openxmlformats.org/officeDocument/2006/relationships/hyperlink" Target="https://www.tandfonline.com/doi/abs/10.1080/19406940.2017.1406975" TargetMode="External"/><Relationship Id="rId10" Type="http://schemas.openxmlformats.org/officeDocument/2006/relationships/hyperlink" Target="https://www.tandfonline.com/doi/abs/10.1080/02614367.2016.1252786"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tandfonline.com/doi/abs/10.1080/11745398.2013.826124" TargetMode="External"/><Relationship Id="rId14" Type="http://schemas.openxmlformats.org/officeDocument/2006/relationships/hyperlink" Target="https://www.tandfonline.com/doi/abs/10.1080/13607863.2016.1247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2019-01-05T18:00:00Z</dcterms:created>
  <dcterms:modified xsi:type="dcterms:W3CDTF">2019-01-05T18:00:00Z</dcterms:modified>
</cp:coreProperties>
</file>